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</w:rPr>
      </w:pPr>
      <w:r>
        <w:rPr>
          <w:rFonts w:hint="eastAsia" w:ascii="华文新魏" w:hAnsi="Calibri"/>
          <w:b/>
          <w:spacing w:val="-70"/>
          <w:sz w:val="72"/>
          <w:szCs w:val="7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198120</wp:posOffset>
            </wp:positionV>
            <wp:extent cx="3466465" cy="1764030"/>
            <wp:effectExtent l="0" t="0" r="635" b="7620"/>
            <wp:wrapSquare wrapText="bothSides"/>
            <wp:docPr id="8" name="图片 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ind w:left="0" w:leftChars="0" w:firstLine="0" w:firstLineChars="0"/>
        <w:jc w:val="distribute"/>
        <w:rPr>
          <w:rFonts w:ascii="华文新魏" w:hAnsi="Calibri"/>
          <w:b/>
          <w:spacing w:val="-70"/>
          <w:sz w:val="72"/>
          <w:szCs w:val="72"/>
        </w:rPr>
      </w:pPr>
      <w:r>
        <w:rPr>
          <w:rFonts w:ascii="宋体" w:hAnsi="宋体"/>
          <w:szCs w:val="22"/>
        </w:rPr>
        <mc:AlternateContent>
          <mc:Choice Requires="wpc">
            <w:drawing>
              <wp:inline distT="0" distB="0" distL="0" distR="0">
                <wp:extent cx="5326380" cy="3282315"/>
                <wp:effectExtent l="0" t="0" r="7620" b="0"/>
                <wp:docPr id="7" name="画布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857375"/>
                            <a:ext cx="445579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360" w:lineRule="auto"/>
                                <w:ind w:left="0" w:leftChars="0" w:firstLine="0" w:firstLineChars="0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AAAAAZHJz&#10;L1BLAQIUABQAAAAIAIdO4kAR4A0H1wAAAAUBAAAPAAAAAAAAAAEAIAAAACIAAABkcnMvZG93bnJl&#10;di54bWxQSwECFAAUAAAACACHTuJAklexQuICAADEBwAADgAAAAAAAAABACAAAAAmAQAAZHJzL2Uy&#10;b0RvYy54bWxQSwUGAAAAAAYABgBZAQAAeg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BHgDQfXAAAABQEAAA8AAAAAAAAAAQAgAAAAIgAAAGRycy9kb3ducmV2LnhtbFBL&#10;AQIUABQAAAAIAIdO4kDCBdPQogIAAEEHAAAOAAAAAAAAAAEAIAAAACYBAABkcnMvZTJvRG9jLnht&#10;bFBLBQYAAAAABgAGAFkBAAA6BgAAAAA=&#10;">
                  <v:fill on="f" focussize="0,0"/>
                  <v:stroke on="f"/>
                  <v:imagedata o:title=""/>
                  <o:lock v:ext="edit" aspectratio="t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kqO0DUAAAABQEAAA8AAAAAAAAAAQAgAAAAIgAAAGRycy9kb3ducmV2LnhtbFBLAQIUABQAAAAI&#10;AIdO4kDX2uSTKgIAAFQEAAAOAAAAAAAAAAEAIAAAACMBAABkcnMvZTJvRG9jLnhtbFBLBQYAAAAA&#10;BgAGAFkBAAC/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857375;height:909955;width:4455795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CCNEPVAAAABQEAAA8AAAAAAAAAAQAgAAAAIgAA&#10;AGRycy9kb3ducmV2LnhtbFBLAQIUABQAAAAIAIdO4kBGkfKhCwIAAB0EAAAOAAAAAAAAAAEAIAAA&#10;ACQBAABkcnMvZTJvRG9jLnhtbFBLBQYAAAAABgAGAFkBAACh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left="0" w:leftChars="0" w:firstLine="0" w:firstLineChars="0"/>
                          <w:jc w:val="center"/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360" w:lineRule="auto"/>
                          <w:ind w:left="0" w:leftChars="0" w:firstLine="0" w:firstLineChars="0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ascii="宋体" w:hAnsi="宋体"/>
        </w:rPr>
      </w:pPr>
    </w:p>
    <w:p>
      <w:pPr>
        <w:spacing w:line="360" w:lineRule="auto"/>
        <w:ind w:left="0" w:leftChars="0" w:firstLine="0" w:firstLineChars="0"/>
      </w:pPr>
    </w:p>
    <w:p>
      <w:pPr>
        <w:spacing w:line="360" w:lineRule="auto"/>
        <w:ind w:left="0" w:leftChars="0" w:firstLine="0" w:firstLineChars="0"/>
      </w:pPr>
    </w:p>
    <w:p>
      <w:pPr>
        <w:ind w:left="0" w:leftChars="0" w:firstLine="0" w:firstLineChars="0"/>
        <w:jc w:val="center"/>
      </w:pPr>
      <w:r>
        <w:rPr>
          <w:rFonts w:hint="eastAsia" w:eastAsia="黑体"/>
          <w:b/>
          <w:sz w:val="52"/>
          <w:szCs w:val="52"/>
        </w:rPr>
        <w:t>白山市公共资源交易电子化平台软件开发、维保及电子设备采购项目(第一包)</w:t>
      </w:r>
      <w:r>
        <w:rPr>
          <w:rFonts w:hint="eastAsia" w:eastAsia="黑体"/>
          <w:b/>
          <w:sz w:val="52"/>
          <w:szCs w:val="52"/>
          <w:lang w:val="en-US" w:eastAsia="zh-CN"/>
        </w:rPr>
        <w:t>产权交易招标代理操作</w:t>
      </w:r>
      <w:r>
        <w:rPr>
          <w:rFonts w:hint="eastAsia" w:eastAsia="黑体"/>
          <w:b/>
          <w:sz w:val="52"/>
          <w:szCs w:val="52"/>
        </w:rPr>
        <w:t>手册</w:t>
      </w:r>
      <w:r>
        <w:br w:type="page"/>
      </w:r>
    </w:p>
    <w:p>
      <w:pPr>
        <w:pStyle w:val="24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版 本 历 史</w:t>
      </w: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29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1242" w:type="dxa"/>
            <w:shd w:val="clear" w:color="auto" w:fill="DCD8C2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版本/状态</w:t>
            </w:r>
          </w:p>
        </w:tc>
        <w:tc>
          <w:tcPr>
            <w:tcW w:w="851" w:type="dxa"/>
            <w:shd w:val="clear" w:color="auto" w:fill="DCD8C2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作者</w:t>
            </w:r>
          </w:p>
        </w:tc>
        <w:tc>
          <w:tcPr>
            <w:tcW w:w="992" w:type="dxa"/>
            <w:shd w:val="clear" w:color="auto" w:fill="DCD8C2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参与者</w:t>
            </w:r>
          </w:p>
        </w:tc>
        <w:tc>
          <w:tcPr>
            <w:tcW w:w="2268" w:type="dxa"/>
            <w:shd w:val="clear" w:color="auto" w:fill="DCD8C2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编写日期</w:t>
            </w:r>
          </w:p>
        </w:tc>
        <w:tc>
          <w:tcPr>
            <w:tcW w:w="2965" w:type="dxa"/>
            <w:shd w:val="clear" w:color="auto" w:fill="DCD8C2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  <w:jc w:val="center"/>
        </w:trPr>
        <w:tc>
          <w:tcPr>
            <w:tcW w:w="1242" w:type="dxa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V1.0</w:t>
            </w:r>
          </w:p>
        </w:tc>
        <w:tc>
          <w:tcPr>
            <w:tcW w:w="851" w:type="dxa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思源宋体 CN Light"/>
                <w:sz w:val="21"/>
                <w:lang w:eastAsia="zh-CN"/>
              </w:rPr>
            </w:pPr>
            <w:r>
              <w:rPr>
                <w:rFonts w:hint="eastAsia"/>
                <w:sz w:val="21"/>
                <w:lang w:val="en-US" w:eastAsia="zh-CN"/>
              </w:rPr>
              <w:t>季颖</w:t>
            </w:r>
          </w:p>
        </w:tc>
        <w:tc>
          <w:tcPr>
            <w:tcW w:w="992" w:type="dxa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  <w:r>
              <w:rPr>
                <w:rFonts w:hint="eastAsia" w:ascii="Times New Roman" w:hAnsi="Times New Roman" w:eastAsia="思源宋体 CN Light"/>
                <w:sz w:val="21"/>
              </w:rPr>
              <w:t>2021年</w:t>
            </w:r>
            <w:r>
              <w:rPr>
                <w:rFonts w:hint="eastAsia"/>
                <w:sz w:val="21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思源宋体 CN Light"/>
                <w:sz w:val="21"/>
              </w:rPr>
              <w:t>月</w:t>
            </w:r>
          </w:p>
        </w:tc>
        <w:tc>
          <w:tcPr>
            <w:tcW w:w="2965" w:type="dxa"/>
            <w:vAlign w:val="center"/>
          </w:tcPr>
          <w:p>
            <w:pPr>
              <w:pStyle w:val="25"/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ascii="Times New Roman" w:hAnsi="Times New Roman" w:eastAsia="思源宋体 CN Light"/>
                <w:sz w:val="21"/>
              </w:rPr>
            </w:pPr>
          </w:p>
        </w:tc>
      </w:tr>
    </w:tbl>
    <w:p>
      <w:pPr>
        <w:pStyle w:val="24"/>
        <w:spacing w:line="360" w:lineRule="auto"/>
        <w:ind w:firstLine="0" w:firstLineChars="0"/>
        <w:jc w:val="center"/>
        <w:rPr>
          <w:rFonts w:ascii="宋体" w:hAnsi="宋体" w:eastAsia="宋体"/>
          <w:sz w:val="32"/>
          <w:szCs w:val="32"/>
        </w:rPr>
        <w:sectPr>
          <w:footerReference r:id="rId4" w:type="first"/>
          <w:headerReference r:id="rId3" w:type="default"/>
          <w:pgSz w:w="11906" w:h="16838"/>
          <w:pgMar w:top="1440" w:right="1797" w:bottom="1440" w:left="1797" w:header="624" w:footer="624" w:gutter="0"/>
          <w:pgNumType w:start="1"/>
          <w:cols w:space="0" w:num="1"/>
          <w:rtlGutter w:val="0"/>
          <w:docGrid w:type="lines" w:linePitch="312" w:charSpace="0"/>
        </w:sectPr>
      </w:pPr>
    </w:p>
    <w:p>
      <w:pPr>
        <w:pStyle w:val="14"/>
        <w:spacing w:line="360" w:lineRule="auto"/>
        <w:ind w:left="0" w:firstLine="0" w:firstLineChars="0"/>
        <w:jc w:val="center"/>
        <w:rPr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spacing w:val="200"/>
          <w:sz w:val="32"/>
          <w:szCs w:val="32"/>
        </w:rPr>
        <w:t>目录</w:t>
      </w:r>
    </w:p>
    <w:p>
      <w:pPr>
        <w:pStyle w:val="14"/>
        <w:tabs>
          <w:tab w:val="right" w:leader="dot" w:pos="8312"/>
        </w:tabs>
      </w:pPr>
      <w:r>
        <w:rPr>
          <w:rFonts w:eastAsia="Times New Roman" w:asciiTheme="minorHAnsi" w:hAnsiTheme="minorHAnsi"/>
          <w:szCs w:val="21"/>
        </w:rPr>
        <w:fldChar w:fldCharType="begin"/>
      </w:r>
      <w:r>
        <w:rPr>
          <w:rFonts w:eastAsia="Times New Roman" w:asciiTheme="minorHAnsi" w:hAnsiTheme="minorHAnsi"/>
          <w:szCs w:val="21"/>
        </w:rPr>
        <w:instrText xml:space="preserve"> TOC \o "1-7" \h \z \u </w:instrText>
      </w:r>
      <w:r>
        <w:rPr>
          <w:rFonts w:eastAsia="Times New Roman" w:asciiTheme="minorHAnsi" w:hAnsiTheme="minorHAnsi"/>
          <w:szCs w:val="21"/>
        </w:rPr>
        <w:fldChar w:fldCharType="separate"/>
      </w:r>
      <w:r>
        <w:rPr>
          <w:rFonts w:eastAsia="Times New Roman" w:asciiTheme="minorHAnsi" w:hAnsiTheme="minorHAnsi"/>
          <w:szCs w:val="21"/>
        </w:rPr>
        <w:fldChar w:fldCharType="begin"/>
      </w:r>
      <w:r>
        <w:rPr>
          <w:rFonts w:eastAsia="Times New Roman" w:asciiTheme="minorHAnsi" w:hAnsiTheme="minorHAnsi"/>
          <w:szCs w:val="21"/>
        </w:rPr>
        <w:instrText xml:space="preserve"> HYPERLINK \l _Toc20191 </w:instrText>
      </w:r>
      <w:r>
        <w:rPr>
          <w:rFonts w:eastAsia="Times New Roman" w:asciiTheme="minorHAnsi" w:hAnsi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</w:rPr>
        <w:t xml:space="preserve">一、 </w:t>
      </w:r>
      <w:r>
        <w:t>系统前期准备</w:t>
      </w:r>
      <w:r>
        <w:tab/>
      </w:r>
      <w:r>
        <w:fldChar w:fldCharType="begin"/>
      </w:r>
      <w:r>
        <w:instrText xml:space="preserve"> PAGEREF _Toc20191 \h </w:instrText>
      </w:r>
      <w:r>
        <w:fldChar w:fldCharType="separate"/>
      </w:r>
      <w:r>
        <w:t>2</w:t>
      </w:r>
      <w:r>
        <w:fldChar w:fldCharType="end"/>
      </w:r>
      <w:r>
        <w:rPr>
          <w:rFonts w:eastAsia="Times New Roman" w:asciiTheme="minorHAnsi" w:hAnsiTheme="minorHAnsi"/>
          <w:szCs w:val="21"/>
        </w:rPr>
        <w:fldChar w:fldCharType="end"/>
      </w:r>
    </w:p>
    <w:p>
      <w:pPr>
        <w:pStyle w:val="16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_Toc19463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</w:rPr>
        <w:t xml:space="preserve">1.1、 </w:t>
      </w:r>
      <w:r>
        <w:t>浏览器配置</w:t>
      </w:r>
      <w:r>
        <w:tab/>
      </w:r>
      <w:r>
        <w:fldChar w:fldCharType="begin"/>
      </w:r>
      <w:r>
        <w:instrText xml:space="preserve"> PAGEREF _Toc19463 \h </w:instrText>
      </w:r>
      <w:r>
        <w:fldChar w:fldCharType="separate"/>
      </w:r>
      <w:r>
        <w:t>2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_Toc328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1.1.1、 </w:t>
      </w:r>
      <w:r>
        <w:t>Internet选项</w:t>
      </w:r>
      <w:r>
        <w:tab/>
      </w:r>
      <w:r>
        <w:fldChar w:fldCharType="begin"/>
      </w:r>
      <w:r>
        <w:instrText xml:space="preserve"> PAGEREF _Toc328 \h </w:instrText>
      </w:r>
      <w:r>
        <w:fldChar w:fldCharType="separate"/>
      </w:r>
      <w:r>
        <w:t>2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_Toc1163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1.1.2、 </w:t>
      </w:r>
      <w:r>
        <w:t>关闭拦截工具</w:t>
      </w:r>
      <w:r>
        <w:tab/>
      </w:r>
      <w:r>
        <w:fldChar w:fldCharType="begin"/>
      </w:r>
      <w:r>
        <w:instrText xml:space="preserve"> PAGEREF _Toc1163 \h </w:instrText>
      </w:r>
      <w:r>
        <w:fldChar w:fldCharType="separate"/>
      </w:r>
      <w:r>
        <w:t>6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4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_Toc22046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产权交易</w:t>
      </w:r>
      <w:r>
        <w:tab/>
      </w:r>
      <w:r>
        <w:fldChar w:fldCharType="begin"/>
      </w:r>
      <w:r>
        <w:instrText xml:space="preserve"> PAGEREF _Toc22046 \h </w:instrText>
      </w:r>
      <w:r>
        <w:fldChar w:fldCharType="separate"/>
      </w:r>
      <w:r>
        <w:t>6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6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_Toc16896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szCs w:val="30"/>
          <w:lang w:val="en-US" w:eastAsia="zh-CN"/>
        </w:rPr>
        <w:t xml:space="preserve">2.1、 </w:t>
      </w:r>
      <w:r>
        <w:rPr>
          <w:rFonts w:hint="eastAsia"/>
          <w:lang w:val="en-US" w:eastAsia="zh-CN"/>
        </w:rPr>
        <w:t>拍卖业务</w:t>
      </w:r>
      <w:r>
        <w:tab/>
      </w:r>
      <w:r>
        <w:fldChar w:fldCharType="begin"/>
      </w:r>
      <w:r>
        <w:instrText xml:space="preserve"> PAGEREF _Toc16896 \h </w:instrText>
      </w:r>
      <w:r>
        <w:fldChar w:fldCharType="separate"/>
      </w:r>
      <w:r>
        <w:t>7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_Toc17535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</w:rPr>
        <w:t xml:space="preserve">2.1.1、 </w:t>
      </w:r>
      <w:r>
        <w:rPr>
          <w:rFonts w:hint="eastAsia"/>
          <w:lang w:val="en-US" w:eastAsia="zh-CN"/>
        </w:rPr>
        <w:t>股权项目登记</w:t>
      </w:r>
      <w:r>
        <w:tab/>
      </w:r>
      <w:r>
        <w:fldChar w:fldCharType="begin"/>
      </w:r>
      <w:r>
        <w:instrText xml:space="preserve"> PAGEREF _Toc17535 \h </w:instrText>
      </w:r>
      <w:r>
        <w:fldChar w:fldCharType="separate"/>
      </w:r>
      <w:r>
        <w:t>7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_Toc29381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2.1.2、 </w:t>
      </w:r>
      <w:r>
        <w:rPr>
          <w:rFonts w:hint="eastAsia"/>
          <w:lang w:val="en-US" w:eastAsia="zh-CN"/>
        </w:rPr>
        <w:t>实物项目登记</w:t>
      </w:r>
      <w:r>
        <w:tab/>
      </w:r>
      <w:r>
        <w:fldChar w:fldCharType="begin"/>
      </w:r>
      <w:r>
        <w:instrText xml:space="preserve"> PAGEREF _Toc29381 \h </w:instrText>
      </w:r>
      <w:r>
        <w:fldChar w:fldCharType="separate"/>
      </w:r>
      <w:r>
        <w:t>15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_Toc28185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2.1.3、 </w:t>
      </w:r>
      <w:r>
        <w:rPr>
          <w:rFonts w:hint="eastAsia"/>
          <w:lang w:val="en-US" w:eastAsia="zh-CN"/>
        </w:rPr>
        <w:t>交易公告备案</w:t>
      </w:r>
      <w:r>
        <w:tab/>
      </w:r>
      <w:r>
        <w:fldChar w:fldCharType="begin"/>
      </w:r>
      <w:r>
        <w:instrText xml:space="preserve"> PAGEREF _Toc28185 \h </w:instrText>
      </w:r>
      <w:r>
        <w:fldChar w:fldCharType="separate"/>
      </w:r>
      <w:r>
        <w:t>18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_Toc13144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2.1.4、 </w:t>
      </w:r>
      <w:r>
        <w:rPr>
          <w:rFonts w:hint="eastAsia"/>
          <w:lang w:val="en-US" w:eastAsia="zh-CN"/>
        </w:rPr>
        <w:t>澄清公告备案</w:t>
      </w:r>
      <w:r>
        <w:tab/>
      </w:r>
      <w:r>
        <w:fldChar w:fldCharType="begin"/>
      </w:r>
      <w:r>
        <w:instrText xml:space="preserve"> PAGEREF _Toc13144 \h </w:instrText>
      </w:r>
      <w:r>
        <w:fldChar w:fldCharType="separate"/>
      </w:r>
      <w:r>
        <w:t>20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_Toc8407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2.1.5、 </w:t>
      </w:r>
      <w:r>
        <w:rPr>
          <w:rFonts w:hint="eastAsia"/>
          <w:lang w:val="en-US" w:eastAsia="zh-CN"/>
        </w:rPr>
        <w:t>报名审核</w:t>
      </w:r>
      <w:r>
        <w:tab/>
      </w:r>
      <w:r>
        <w:fldChar w:fldCharType="begin"/>
      </w:r>
      <w:r>
        <w:instrText xml:space="preserve"> PAGEREF _Toc8407 \h </w:instrText>
      </w:r>
      <w:r>
        <w:fldChar w:fldCharType="separate"/>
      </w:r>
      <w:r>
        <w:t>22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_Toc14295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2.1.6、 </w:t>
      </w:r>
      <w:r>
        <w:rPr>
          <w:rFonts w:hint="eastAsia"/>
          <w:lang w:val="en-US" w:eastAsia="zh-CN"/>
        </w:rPr>
        <w:t>设定竞价规则</w:t>
      </w:r>
      <w:r>
        <w:tab/>
      </w:r>
      <w:r>
        <w:fldChar w:fldCharType="begin"/>
      </w:r>
      <w:r>
        <w:instrText xml:space="preserve"> PAGEREF _Toc14295 \h </w:instrText>
      </w:r>
      <w:r>
        <w:fldChar w:fldCharType="separate"/>
      </w:r>
      <w:r>
        <w:t>24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_Toc20179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2.1.7、 </w:t>
      </w:r>
      <w:r>
        <w:rPr>
          <w:rFonts w:hint="eastAsia"/>
          <w:lang w:val="en-US" w:eastAsia="zh-CN"/>
        </w:rPr>
        <w:t>竞价控制</w:t>
      </w:r>
      <w:r>
        <w:tab/>
      </w:r>
      <w:r>
        <w:fldChar w:fldCharType="begin"/>
      </w:r>
      <w:r>
        <w:instrText xml:space="preserve"> PAGEREF _Toc20179 \h </w:instrText>
      </w:r>
      <w:r>
        <w:fldChar w:fldCharType="separate"/>
      </w:r>
      <w:r>
        <w:t>26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_Toc18073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2.1.8、 </w:t>
      </w:r>
      <w:r>
        <w:rPr>
          <w:rFonts w:hint="eastAsia"/>
          <w:lang w:val="en-US" w:eastAsia="zh-CN"/>
        </w:rPr>
        <w:t>报价历史菜单</w:t>
      </w:r>
      <w:r>
        <w:tab/>
      </w:r>
      <w:r>
        <w:fldChar w:fldCharType="begin"/>
      </w:r>
      <w:r>
        <w:instrText xml:space="preserve"> PAGEREF _Toc18073 \h </w:instrText>
      </w:r>
      <w:r>
        <w:fldChar w:fldCharType="separate"/>
      </w:r>
      <w:r>
        <w:t>29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_Toc30470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2.1.9、 </w:t>
      </w:r>
      <w:r>
        <w:rPr>
          <w:rFonts w:hint="eastAsia"/>
          <w:lang w:val="en-US" w:eastAsia="zh-CN"/>
        </w:rPr>
        <w:t>LED投影</w:t>
      </w:r>
      <w:r>
        <w:tab/>
      </w:r>
      <w:r>
        <w:fldChar w:fldCharType="begin"/>
      </w:r>
      <w:r>
        <w:instrText xml:space="preserve"> PAGEREF _Toc30470 \h </w:instrText>
      </w:r>
      <w:r>
        <w:fldChar w:fldCharType="separate"/>
      </w:r>
      <w:r>
        <w:t>30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_Toc29873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2.1.10、 </w:t>
      </w:r>
      <w:r>
        <w:rPr>
          <w:rFonts w:hint="eastAsia"/>
          <w:lang w:val="en-US" w:eastAsia="zh-CN"/>
        </w:rPr>
        <w:t>成交公告备案</w:t>
      </w:r>
      <w:r>
        <w:tab/>
      </w:r>
      <w:r>
        <w:fldChar w:fldCharType="begin"/>
      </w:r>
      <w:r>
        <w:instrText xml:space="preserve"> PAGEREF _Toc29873 \h </w:instrText>
      </w:r>
      <w:r>
        <w:fldChar w:fldCharType="separate"/>
      </w:r>
      <w:r>
        <w:t>31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pStyle w:val="10"/>
        <w:tabs>
          <w:tab w:val="right" w:leader="dot" w:pos="8312"/>
        </w:tabs>
      </w:pPr>
      <w:r>
        <w:rPr>
          <w:rFonts w:eastAsia="Times New Roman" w:asciiTheme="minorHAnsi" w:hAnsiTheme="minorHAnsi" w:cstheme="minorHAnsi"/>
          <w:szCs w:val="21"/>
        </w:rPr>
        <w:fldChar w:fldCharType="begin"/>
      </w:r>
      <w:r>
        <w:rPr>
          <w:rFonts w:eastAsia="Times New Roman" w:asciiTheme="minorHAnsi" w:hAnsiTheme="minorHAnsi" w:cstheme="minorHAnsi"/>
          <w:szCs w:val="21"/>
        </w:rPr>
        <w:instrText xml:space="preserve"> HYPERLINK \l _Toc3149 </w:instrText>
      </w:r>
      <w:r>
        <w:rPr>
          <w:rFonts w:eastAsia="Times New Roman" w:asciiTheme="minorHAnsi" w:hAnsiTheme="minorHAnsi" w:cstheme="minorHAnsi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bCs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Cs w:val="28"/>
          <w:vertAlign w:val="baseline"/>
          <w:lang w:val="en-US" w:eastAsia="zh-CN"/>
        </w:rPr>
        <w:t xml:space="preserve">2.1.11、 </w:t>
      </w:r>
      <w:r>
        <w:rPr>
          <w:rFonts w:hint="eastAsia"/>
          <w:lang w:val="en-US" w:eastAsia="zh-CN"/>
        </w:rPr>
        <w:t>同步竞价结果</w:t>
      </w:r>
      <w:r>
        <w:tab/>
      </w:r>
      <w:r>
        <w:fldChar w:fldCharType="begin"/>
      </w:r>
      <w:r>
        <w:instrText xml:space="preserve"> PAGEREF _Toc3149 \h </w:instrText>
      </w:r>
      <w:r>
        <w:fldChar w:fldCharType="separate"/>
      </w:r>
      <w:r>
        <w:t>33</w:t>
      </w:r>
      <w:r>
        <w:fldChar w:fldCharType="end"/>
      </w: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rPr>
          <w:szCs w:val="21"/>
        </w:rPr>
      </w:pPr>
      <w:r>
        <w:rPr>
          <w:rFonts w:eastAsia="Times New Roman" w:asciiTheme="minorHAnsi" w:hAnsiTheme="minorHAnsi" w:cstheme="minorHAnsi"/>
          <w:szCs w:val="21"/>
        </w:rPr>
        <w:fldChar w:fldCharType="end"/>
      </w: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ind w:left="0" w:leftChars="0" w:firstLine="0" w:firstLineChars="0"/>
        <w:rPr>
          <w:szCs w:val="21"/>
        </w:rPr>
      </w:pPr>
      <w:r>
        <w:rPr>
          <w:szCs w:val="21"/>
        </w:rPr>
        <w:br w:type="page"/>
      </w:r>
    </w:p>
    <w:p>
      <w:pPr>
        <w:pStyle w:val="3"/>
      </w:pPr>
      <w:bookmarkStart w:id="0" w:name="_Toc346206121"/>
      <w:bookmarkStart w:id="1" w:name="_Toc20191"/>
      <w:r>
        <w:t>系统前期准备</w:t>
      </w:r>
      <w:bookmarkEnd w:id="0"/>
      <w:bookmarkEnd w:id="1"/>
    </w:p>
    <w:p>
      <w:pPr>
        <w:pStyle w:val="4"/>
      </w:pPr>
      <w:bookmarkStart w:id="2" w:name="_Toc346701610"/>
      <w:bookmarkStart w:id="3" w:name="_Toc346183628"/>
      <w:bookmarkStart w:id="4" w:name="_Toc22045"/>
      <w:bookmarkStart w:id="5" w:name="_Toc12646"/>
      <w:bookmarkStart w:id="6" w:name="_Toc19463"/>
      <w:bookmarkStart w:id="7" w:name="_Toc346206133"/>
      <w:r>
        <w:t>驱动安装说明</w:t>
      </w:r>
      <w:bookmarkEnd w:id="2"/>
      <w:bookmarkEnd w:id="3"/>
      <w:bookmarkEnd w:id="4"/>
      <w:bookmarkEnd w:id="5"/>
    </w:p>
    <w:p>
      <w:pPr>
        <w:pStyle w:val="5"/>
        <w:ind w:left="1072" w:hanging="1072"/>
      </w:pPr>
      <w:bookmarkStart w:id="8" w:name="_Toc12308"/>
      <w:bookmarkStart w:id="9" w:name="_Toc346701611"/>
      <w:bookmarkStart w:id="10" w:name="_Toc346183629"/>
      <w:bookmarkStart w:id="11" w:name="_Toc22025"/>
      <w:r>
        <w:t>安装驱动程序</w:t>
      </w:r>
      <w:bookmarkEnd w:id="8"/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114300" distR="114300">
            <wp:extent cx="781050" cy="727075"/>
            <wp:effectExtent l="0" t="0" r="635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154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drawing>
          <wp:inline distT="0" distB="0" distL="114300" distR="114300">
            <wp:extent cx="5268595" cy="3951605"/>
            <wp:effectExtent l="0" t="0" r="1905" b="1079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</w:t>
      </w:r>
      <w:r>
        <w:rPr>
          <w:rFonts w:hint="eastAsia"/>
          <w:lang w:val="en-US" w:eastAsia="zh-CN"/>
        </w:rPr>
        <w:t>快速安装或者自定义安装</w:t>
      </w:r>
      <w:r>
        <w:t>，进入</w:t>
      </w:r>
      <w:r>
        <w:rPr>
          <w:rFonts w:hint="eastAsia"/>
          <w:lang w:val="en-US" w:eastAsia="zh-CN"/>
        </w:rPr>
        <w:t>安装</w:t>
      </w:r>
      <w:r>
        <w:t>页面。</w:t>
      </w:r>
      <w:r>
        <w:drawing>
          <wp:inline distT="0" distB="0" distL="114300" distR="114300">
            <wp:extent cx="5271135" cy="3968750"/>
            <wp:effectExtent l="0" t="0" r="12065" b="635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  <w:rPr>
          <w:b/>
          <w:spacing w:val="4"/>
        </w:rPr>
      </w:pPr>
    </w:p>
    <w:p>
      <w:pPr>
        <w:pStyle w:val="21"/>
        <w:ind w:firstLine="0" w:firstLineChars="0"/>
        <w:jc w:val="distribute"/>
      </w:pPr>
      <w:r>
        <w:drawing>
          <wp:inline distT="0" distB="0" distL="114300" distR="114300">
            <wp:extent cx="5268595" cy="3951605"/>
            <wp:effectExtent l="0" t="0" r="1905" b="10795"/>
            <wp:docPr id="2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</w:pPr>
    </w:p>
    <w:p>
      <w:pPr>
        <w:pStyle w:val="21"/>
        <w:ind w:firstLine="0" w:firstLineChars="0"/>
        <w:jc w:val="center"/>
      </w:pPr>
    </w:p>
    <w:p>
      <w:pPr>
        <w:spacing w:line="360" w:lineRule="auto"/>
        <w:ind w:firstLine="420" w:firstLineChars="200"/>
        <w:jc w:val="left"/>
      </w:pPr>
      <w:r>
        <w:rPr>
          <w:rFonts w:hint="eastAsia"/>
          <w:lang w:val="en-US" w:eastAsia="zh-CN"/>
        </w:rPr>
        <w:t>3</w:t>
      </w:r>
      <w:r>
        <w:t>、运行完毕后，驱动安装成功。</w:t>
      </w:r>
      <w:r>
        <w:drawing>
          <wp:inline distT="0" distB="0" distL="114300" distR="114300">
            <wp:extent cx="5269230" cy="3945255"/>
            <wp:effectExtent l="0" t="0" r="1270" b="444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346701615"/>
      <w:bookmarkStart w:id="13" w:name="_Toc475978920"/>
      <w:bookmarkStart w:id="14" w:name="_Toc26253"/>
      <w:bookmarkStart w:id="15" w:name="_Toc21902"/>
      <w:bookmarkStart w:id="16" w:name="_Toc3601"/>
      <w:bookmarkStart w:id="17" w:name="_Toc5981"/>
      <w:bookmarkStart w:id="18" w:name="_Toc346183633"/>
      <w:r>
        <w:t>检测工具</w:t>
      </w:r>
      <w:bookmarkEnd w:id="12"/>
      <w:bookmarkEnd w:id="13"/>
      <w:bookmarkEnd w:id="14"/>
      <w:bookmarkEnd w:id="15"/>
      <w:bookmarkEnd w:id="16"/>
      <w:bookmarkEnd w:id="17"/>
      <w:bookmarkEnd w:id="18"/>
    </w:p>
    <w:p>
      <w:pPr>
        <w:pStyle w:val="5"/>
        <w:ind w:left="1072" w:hanging="1072"/>
      </w:pPr>
      <w:bookmarkStart w:id="19" w:name="_Toc8514"/>
      <w:bookmarkStart w:id="20" w:name="_Toc11497"/>
      <w:bookmarkStart w:id="21" w:name="_Toc475978921"/>
      <w:bookmarkStart w:id="22" w:name="_Toc23460"/>
      <w:bookmarkStart w:id="23" w:name="_Toc346701616"/>
      <w:bookmarkStart w:id="24" w:name="_Toc6573"/>
      <w:bookmarkStart w:id="25" w:name="_Toc346183634"/>
      <w:r>
        <w:t>启动检测工具</w:t>
      </w:r>
      <w:bookmarkEnd w:id="19"/>
      <w:bookmarkEnd w:id="20"/>
      <w:bookmarkEnd w:id="21"/>
      <w:bookmarkEnd w:id="22"/>
      <w:bookmarkEnd w:id="23"/>
      <w:bookmarkEnd w:id="24"/>
      <w:bookmarkEnd w:id="25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21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685800" cy="828675"/>
            <wp:effectExtent l="0" t="0" r="0" b="9525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rPr>
          <w:b/>
          <w:spacing w:val="4"/>
        </w:rPr>
      </w:pPr>
    </w:p>
    <w:p>
      <w:pPr>
        <w:pStyle w:val="5"/>
        <w:ind w:left="1072" w:hanging="1072"/>
      </w:pPr>
      <w:bookmarkStart w:id="26" w:name="_Toc346183635"/>
      <w:bookmarkStart w:id="27" w:name="_Toc18754"/>
      <w:bookmarkStart w:id="28" w:name="_Toc346701617"/>
      <w:bookmarkStart w:id="29" w:name="_Toc5285"/>
      <w:bookmarkStart w:id="30" w:name="_Toc475978922"/>
      <w:bookmarkStart w:id="31" w:name="_Toc27133"/>
      <w:bookmarkStart w:id="32" w:name="_Toc5369"/>
      <w:r>
        <w:t>系统检测</w:t>
      </w:r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Style w:val="21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71770" cy="3313430"/>
            <wp:effectExtent l="0" t="0" r="11430" b="127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ind w:firstLine="420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点击“一键检测”按钮，提示输入PIN码，如图所示: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1905" b="190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检测工具会自动对CA进行检测，如图所示：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8595" cy="3325495"/>
            <wp:effectExtent l="0" t="0" r="1905" b="1905"/>
            <wp:docPr id="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检测通过，可一键登陆系统，会自动跳转到中心端登陆页面，如图所示：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16555"/>
            <wp:effectExtent l="0" t="0" r="11430" b="444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ind w:firstLine="0" w:firstLineChars="0"/>
        <w:jc w:val="center"/>
        <w:rPr>
          <w:b/>
          <w:spacing w:val="4"/>
          <w:sz w:val="21"/>
        </w:rPr>
      </w:pPr>
    </w:p>
    <w:p>
      <w:pPr>
        <w:pStyle w:val="5"/>
        <w:ind w:left="1072" w:hanging="1072"/>
      </w:pPr>
      <w:bookmarkStart w:id="33" w:name="_Toc15435"/>
      <w:bookmarkStart w:id="34" w:name="_Toc346701619"/>
      <w:bookmarkStart w:id="35" w:name="_Toc346183637"/>
      <w:bookmarkStart w:id="36" w:name="_Toc11924"/>
      <w:bookmarkStart w:id="37" w:name="_Toc475978924"/>
      <w:bookmarkStart w:id="38" w:name="_Toc25470"/>
      <w:bookmarkStart w:id="39" w:name="_Toc24492"/>
      <w:r>
        <w:t>证书检测</w:t>
      </w:r>
      <w:bookmarkEnd w:id="33"/>
      <w:bookmarkEnd w:id="34"/>
      <w:bookmarkEnd w:id="35"/>
      <w:bookmarkEnd w:id="36"/>
      <w:bookmarkEnd w:id="37"/>
      <w:bookmarkEnd w:id="38"/>
      <w:bookmarkEnd w:id="39"/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点击检测工具上方的“证书显示”按钮，可以对CA进行证书的检测，如图所示：</w:t>
      </w:r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drawing>
          <wp:inline distT="0" distB="0" distL="114300" distR="114300">
            <wp:extent cx="5268595" cy="3325495"/>
            <wp:effectExtent l="0" t="0" r="1905" b="1905"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1072" w:hanging="1072"/>
      </w:pPr>
      <w:bookmarkStart w:id="40" w:name="_Toc21354"/>
      <w:bookmarkStart w:id="41" w:name="_Toc28685"/>
      <w:bookmarkStart w:id="42" w:name="_Toc31588"/>
      <w:bookmarkStart w:id="43" w:name="_Toc475978925"/>
      <w:bookmarkStart w:id="44" w:name="_Toc346701620"/>
      <w:bookmarkStart w:id="45" w:name="_Toc4796"/>
      <w:bookmarkStart w:id="46" w:name="_Toc346183638"/>
      <w:r>
        <w:t>签章检测</w:t>
      </w:r>
      <w:bookmarkEnd w:id="40"/>
      <w:bookmarkEnd w:id="41"/>
      <w:bookmarkEnd w:id="42"/>
      <w:bookmarkEnd w:id="43"/>
      <w:bookmarkEnd w:id="44"/>
      <w:bookmarkEnd w:id="45"/>
      <w:bookmarkEnd w:id="46"/>
    </w:p>
    <w:p>
      <w:pPr>
        <w:spacing w:line="360" w:lineRule="auto"/>
        <w:jc w:val="center"/>
        <w:rPr>
          <w:rFonts w:hint="eastAsia"/>
          <w:spacing w:val="4"/>
          <w:lang w:val="en-US" w:eastAsia="zh-CN"/>
        </w:rPr>
      </w:pPr>
      <w:r>
        <w:rPr>
          <w:rFonts w:hint="eastAsia"/>
          <w:spacing w:val="4"/>
          <w:lang w:val="en-US" w:eastAsia="zh-CN"/>
        </w:rPr>
        <w:t>点击检测工具上方的“签章显示”按钮，可以对CA进行签章的检测，如图所示：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3325495"/>
            <wp:effectExtent l="0" t="0" r="1905" b="1905"/>
            <wp:docPr id="9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4"/>
        <w:ind w:left="0" w:leftChars="0" w:firstLineChars="0"/>
      </w:pPr>
      <w:bookmarkStart w:id="73" w:name="_GoBack"/>
      <w:bookmarkEnd w:id="73"/>
      <w:r>
        <w:t>浏览器配置</w:t>
      </w:r>
      <w:bookmarkEnd w:id="6"/>
      <w:bookmarkEnd w:id="7"/>
    </w:p>
    <w:p>
      <w:pPr>
        <w:pStyle w:val="5"/>
        <w:ind w:left="0" w:leftChars="0" w:firstLineChars="0"/>
      </w:pPr>
      <w:bookmarkStart w:id="47" w:name="_Toc328"/>
      <w:bookmarkStart w:id="48" w:name="_Toc346206134"/>
      <w:r>
        <w:t>Internet选项</w:t>
      </w:r>
      <w:bookmarkEnd w:id="47"/>
      <w:bookmarkEnd w:id="48"/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bidi w:val="0"/>
        <w:rPr>
          <w:rFonts w:hint="eastAsia" w:eastAsia="思源宋体 CN Light"/>
          <w:lang w:eastAsia="zh-CN"/>
        </w:rPr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794385</wp:posOffset>
                </wp:positionV>
                <wp:extent cx="866775" cy="473075"/>
                <wp:effectExtent l="9525" t="9525" r="22860" b="127000"/>
                <wp:wrapNone/>
                <wp:docPr id="738" name="圆角矩形标注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73075"/>
                        </a:xfrm>
                        <a:prstGeom prst="wedgeRoundRectCallout">
                          <a:avLst>
                            <a:gd name="adj1" fmla="val -44213"/>
                            <a:gd name="adj2" fmla="val 7000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选择站点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5.05pt;margin-top:62.55pt;height:37.25pt;width:68.25pt;z-index:251660288;mso-width-relative:page;mso-height-relative:page;" fillcolor="#FFFFFF" filled="t" stroked="t" coordsize="21600,21600" o:gfxdata="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Ras+bZAAAACwEA&#10;AA8AAAAAAAAAAQAgAAAAIgAAAGRycy9kb3ducmV2LnhtbFBLAQIUABQAAAAIAIdO4kCh/HhLUgIA&#10;AMAEAAAOAAAAAAAAAAEAIAAAACgBAABkcnMvZTJvRG9jLnhtbFBLBQYAAAAABgAGAFkBAADsBQAA&#10;AAA=&#10;" adj="1250,25920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选择站点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1472565</wp:posOffset>
                </wp:positionV>
                <wp:extent cx="1153160" cy="495300"/>
                <wp:effectExtent l="9525" t="252730" r="10795" b="13970"/>
                <wp:wrapNone/>
                <wp:docPr id="310" name="圆角矩形标注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495300"/>
                        </a:xfrm>
                        <a:prstGeom prst="wedgeRoundRectCallout">
                          <a:avLst>
                            <a:gd name="adj1" fmla="val -23491"/>
                            <a:gd name="adj2" fmla="val -9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选择可信站点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9.4pt;margin-top:115.95pt;height:39pt;width:90.8pt;z-index:251661312;mso-width-relative:page;mso-height-relative:page;" fillcolor="#FFFFFF" filled="t" stroked="t" coordsize="21600,21600" o:gfxdata="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fPE5I2gAAAAsB&#10;AAAPAAAAAAAAAAEAIAAAACIAAABkcnMvZG93bnJldi54bWxQSwECFAAUAAAACACHTuJAqDRep1IC&#10;AADCBAAADgAAAAAAAAABACAAAAApAQAAZHJzL2Uyb0RvYy54bWxQSwUGAAAAAAYABgBZAQAA7QUA&#10;AAAA&#10;" adj="5726,-10218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选择可信站点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209925" cy="3838575"/>
            <wp:effectExtent l="0" t="0" r="317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1649730</wp:posOffset>
                </wp:positionV>
                <wp:extent cx="914400" cy="463550"/>
                <wp:effectExtent l="154940" t="9525" r="12700" b="243205"/>
                <wp:wrapNone/>
                <wp:docPr id="737" name="圆角矩形标注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3550"/>
                        </a:xfrm>
                        <a:prstGeom prst="wedgeRoundRectCallout">
                          <a:avLst>
                            <a:gd name="adj1" fmla="val -60417"/>
                            <a:gd name="adj2" fmla="val 918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此处不选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57.05pt;margin-top:129.9pt;height:36.5pt;width:72pt;z-index:251662336;mso-width-relative:page;mso-height-relative:page;" fillcolor="#FFFFFF" filled="t" stroked="t" coordsize="21600,21600" o:gfxdata="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9cdR&#10;KtwAAAALAQAADwAAAAAAAAABACAAAAAiAAAAZHJzL2Rvd25yZXYueG1sUEsBAhQAFAAAAAgAh07i&#10;QBKAsFlXAgAAwAQAAA4AAAAAAAAAAQAgAAAAKwEAAGRycy9lMm9Eb2MueG1sUEsFBgAAAAAGAAYA&#10;WQEAAPQFAAAAAA==&#10;" adj="-2250,30645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此处不选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705225" cy="2971800"/>
            <wp:effectExtent l="0" t="0" r="952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输入系统服务器的IP地址，格式例如：192.168.0.123，然后点击“添加”按钮完成添加，再按“关闭”按钮退出。</w:t>
      </w:r>
    </w:p>
    <w:p>
      <w:pPr>
        <w:bidi w:val="0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2384425</wp:posOffset>
                </wp:positionV>
                <wp:extent cx="4047490" cy="640080"/>
                <wp:effectExtent l="9525" t="9525" r="12065" b="127635"/>
                <wp:wrapNone/>
                <wp:docPr id="739" name="圆角矩形标注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7490" cy="640080"/>
                        </a:xfrm>
                        <a:prstGeom prst="wedgeRoundRectCallout">
                          <a:avLst>
                            <a:gd name="adj1" fmla="val -491"/>
                            <a:gd name="adj2" fmla="val 67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0" w:leftChars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点击“自定义级别”，注意一定要先选中上面的“受信任的站点”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.3pt;margin-top:187.75pt;height:50.4pt;width:318.7pt;z-index:251663360;mso-width-relative:page;mso-height-relative:page;" fillcolor="#FFFFFF" filled="t" stroked="t" coordsize="21600,21600" o:gfxdata="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r4radgAAAAKAQAA&#10;DwAAAAAAAAABACAAAAAiAAAAZHJzL2Rvd25yZXYueG1sUEsBAhQAFAAAAAgAh07iQJ/VnxlSAgAA&#10;vwQAAA4AAAAAAAAAAQAgAAAAJwEAAGRycy9lMm9Eb2MueG1sUEsFBgAAAAAGAAYAWQEAAOsFAAAA&#10;AA==&#10;" adj="10694,25338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</w:pPr>
                      <w:r>
                        <w:rPr>
                          <w:rFonts w:hint="eastAsia"/>
                        </w:rPr>
                        <w:t>点击“自定义级别”，注意一定要先选中上面的“受信任的站点”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09950" cy="41148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①会出现一个窗口，把其中的Activex控件和插件的设置全部改为启用。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458470"/>
                <wp:effectExtent l="158750" t="9525" r="16510" b="19685"/>
                <wp:wrapNone/>
                <wp:docPr id="736" name="圆角矩形标注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45847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36.1pt;width:156.6pt;z-index:251664384;mso-width-relative:page;mso-height-relative:page;" fillcolor="#FFFFFF" filled="t" stroked="t" coordsize="21600,21600" o:gfxdata="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tyVFn1gAAAAsBAAAP&#10;AAAAAAAAAAEAIAAAACIAAABkcnMvZG93bnJldi54bWxQSwECFAAUAAAACACHTuJA5BtS8FMCAADB&#10;BAAADgAAAAAAAAABACAAAAAlAQAAZHJzL2Uyb0RvYy54bWxQSwUGAAAAAAYABgBZAQAA6gUAAAAA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②文件下载设置，开放文件下载的权限：设置为启用。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5"/>
        <w:ind w:left="0" w:leftChars="0" w:firstLineChars="0"/>
      </w:pPr>
      <w:bookmarkStart w:id="49" w:name="_Toc346206135"/>
      <w:bookmarkStart w:id="50" w:name="_Toc1163"/>
      <w:r>
        <w:t>关闭拦截工具</w:t>
      </w:r>
      <w:bookmarkEnd w:id="49"/>
      <w:bookmarkEnd w:id="50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21"/>
        <w:spacing w:line="360" w:lineRule="auto"/>
        <w:ind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095875" cy="232410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bookmarkStart w:id="51" w:name="_Toc22046"/>
      <w:bookmarkStart w:id="52" w:name="_Toc346206289"/>
      <w:r>
        <w:rPr>
          <w:rFonts w:hint="eastAsia"/>
          <w:lang w:val="en-US" w:eastAsia="zh-CN"/>
        </w:rPr>
        <w:t>产权交易</w:t>
      </w:r>
      <w:bookmarkEnd w:id="51"/>
    </w:p>
    <w:bookmarkEnd w:id="52"/>
    <w:p>
      <w:pPr>
        <w:pStyle w:val="2"/>
        <w:numPr>
          <w:ilvl w:val="0"/>
          <w:numId w:val="3"/>
        </w:numPr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打开“新点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公共资源电子交易系统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491105"/>
            <wp:effectExtent l="0" t="0" r="381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ind w:left="0" w:leftChars="0" w:firstLine="420" w:firstLineChars="200"/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输入用户名和密码后，点击“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登录”按钮，进入系统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。如下图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53" w:name="_Toc16896"/>
      <w:r>
        <w:rPr>
          <w:rFonts w:hint="eastAsia"/>
          <w:lang w:val="en-US" w:eastAsia="zh-CN"/>
        </w:rPr>
        <w:t>拍卖业务</w:t>
      </w:r>
      <w:bookmarkEnd w:id="53"/>
    </w:p>
    <w:p>
      <w:pPr>
        <w:pStyle w:val="5"/>
        <w:tabs>
          <w:tab w:val="left" w:pos="567"/>
        </w:tabs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4" w:name="_Toc17535"/>
      <w:bookmarkStart w:id="55" w:name="_Toc26630"/>
      <w:r>
        <w:rPr>
          <w:rFonts w:hint="eastAsia"/>
          <w:lang w:val="en-US" w:eastAsia="zh-CN"/>
        </w:rPr>
        <w:t>股权项目登记</w:t>
      </w:r>
      <w:bookmarkEnd w:id="54"/>
      <w:bookmarkEnd w:id="55"/>
    </w:p>
    <w:p>
      <w:pPr>
        <w:ind w:left="0" w:leftChars="0" w:firstLine="422" w:firstLineChars="200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  <w:lang w:val="en-US" w:eastAsia="zh-CN"/>
        </w:rPr>
        <w:t>新建股权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。</w:t>
      </w:r>
    </w:p>
    <w:p>
      <w:pPr>
        <w:spacing w:line="360" w:lineRule="auto"/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1、点击“拍卖业务—股权项目登记”，进入</w:t>
      </w:r>
      <w:r>
        <w:rPr>
          <w:rFonts w:hint="eastAsia"/>
          <w:lang w:eastAsia="zh-CN"/>
        </w:rPr>
        <w:t>股权项目登记</w:t>
      </w:r>
      <w:r>
        <w:rPr>
          <w:rFonts w:hint="eastAsia"/>
        </w:rPr>
        <w:t>列表页面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</w:t>
      </w:r>
      <w:r>
        <w:rPr>
          <w:rFonts w:hint="eastAsia"/>
          <w:lang w:eastAsia="zh-CN"/>
        </w:rPr>
        <w:t>：</w:t>
      </w:r>
    </w:p>
    <w:p>
      <w:pPr>
        <w:numPr>
          <w:ilvl w:val="0"/>
          <w:numId w:val="0"/>
        </w:numPr>
        <w:rPr>
          <w:rFonts w:ascii="宋体" w:hAnsi="宋体"/>
          <w:b/>
        </w:rPr>
      </w:pPr>
      <w:r>
        <w:drawing>
          <wp:inline distT="0" distB="0" distL="114300" distR="114300">
            <wp:extent cx="5266690" cy="2553970"/>
            <wp:effectExtent l="0" t="0" r="3810" b="1143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新建股权项目</w:t>
      </w:r>
      <w:r>
        <w:rPr>
          <w:rFonts w:hint="eastAsia"/>
        </w:rPr>
        <w:t>”按钮，进入“新</w:t>
      </w:r>
      <w:r>
        <w:rPr>
          <w:rFonts w:hint="eastAsia"/>
          <w:lang w:eastAsia="zh-CN"/>
        </w:rPr>
        <w:t>建股权项目</w:t>
      </w:r>
      <w:r>
        <w:rPr>
          <w:rFonts w:hint="eastAsia"/>
        </w:rPr>
        <w:t>”页面，</w:t>
      </w:r>
      <w:r>
        <w:rPr>
          <w:rFonts w:hint="eastAsia"/>
          <w:lang w:val="en-US" w:eastAsia="zh-CN"/>
        </w:rPr>
        <w:t>填写页面相关信息。</w:t>
      </w:r>
      <w:r>
        <w:rPr>
          <w:rFonts w:hint="eastAsia"/>
        </w:rPr>
        <w:t>如下图：</w:t>
      </w:r>
    </w:p>
    <w:p>
      <w:pPr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2508250"/>
            <wp:effectExtent l="0" t="0" r="635" b="635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点击“新增转让方信息”按钮，进入“新增转让方信息”页面。如下图：</w:t>
      </w:r>
    </w:p>
    <w:p>
      <w:pPr>
        <w:numPr>
          <w:ilvl w:val="0"/>
          <w:numId w:val="0"/>
        </w:numPr>
        <w:rPr>
          <w:rFonts w:hint="default" w:eastAsia="宋体"/>
          <w:b/>
          <w:bCs/>
          <w:lang w:val="en-US" w:eastAsia="zh-CN"/>
        </w:rPr>
      </w:pPr>
      <w:r>
        <w:drawing>
          <wp:inline distT="0" distB="0" distL="114300" distR="114300">
            <wp:extent cx="5274310" cy="2394585"/>
            <wp:effectExtent l="0" t="0" r="8890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4、填写页面信息，点击“修改保存”按钮，新增转让方信息成功，直接显示在转让方列表中。如下图：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722120"/>
            <wp:effectExtent l="0" t="0" r="10160" b="50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1245235"/>
            <wp:effectExtent l="0" t="0" r="8255" b="1206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5、转让方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转让方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转让方信息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转让方</w:t>
      </w:r>
      <w:r>
        <w:rPr>
          <w:rFonts w:hint="eastAsia"/>
          <w:lang w:eastAsia="zh-CN"/>
        </w:rPr>
        <w:t>信息。如下图</w:t>
      </w:r>
      <w:r>
        <w:rPr>
          <w:rFonts w:hint="eastAsia"/>
        </w:rPr>
        <w:t>：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4310" cy="1980565"/>
            <wp:effectExtent l="0" t="0" r="8890" b="63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/>
          <w:lang w:val="en-US" w:eastAsia="zh-CN"/>
        </w:rPr>
        <w:t>6、转让方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中，点击“修改”按钮可修改该转让方信息。如下图：</w:t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5267960" cy="2461260"/>
            <wp:effectExtent l="0" t="0" r="2540" b="254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点击“新增标的信息”按钮，进入“新增标的信息”页面。如下图：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75535"/>
            <wp:effectExtent l="0" t="0" r="12065" b="1206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8、填写页面信息，点击“修改保存”按钮，新增标的信息成功，直接显示在标的信息列表中。如下图： </w:t>
      </w:r>
      <w:r>
        <w:drawing>
          <wp:inline distT="0" distB="0" distL="114300" distR="114300">
            <wp:extent cx="5272405" cy="1951355"/>
            <wp:effectExtent l="0" t="0" r="10795" b="4445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802640"/>
            <wp:effectExtent l="0" t="0" r="12065" b="1016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注：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lang w:val="en-US" w:eastAsia="zh-CN"/>
        </w:rPr>
        <w:t>挂牌价：</w:t>
      </w:r>
      <w:r>
        <w:t>设置竞价规则中的起始价就是获取的挂牌价</w:t>
      </w:r>
      <w:r>
        <w:rPr>
          <w:rFonts w:hint="eastAsia"/>
        </w:rPr>
        <w:t>（在</w:t>
      </w:r>
      <w:r>
        <w:t>设定竞价规则中无法修改）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</w:rPr>
        <w:t>保证金截止</w:t>
      </w:r>
      <w:r>
        <w:rPr>
          <w:rFonts w:hint="eastAsia"/>
          <w:lang w:val="en-US" w:eastAsia="zh-CN"/>
        </w:rPr>
        <w:t>时间</w:t>
      </w:r>
      <w:r>
        <w:rPr>
          <w:rFonts w:hint="eastAsia"/>
        </w:rPr>
        <w:t>：保证金截止时间</w:t>
      </w:r>
      <w:r>
        <w:rPr>
          <w:rFonts w:hint="eastAsia"/>
          <w:lang w:val="en-US" w:eastAsia="zh-CN"/>
        </w:rPr>
        <w:t xml:space="preserve">要晚于交易公告发布时间早于交易公告截止时间，保证金截止时间到了将无法缴纳保证金。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产权交易可以新增多个标的。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信息。如下图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4310" cy="953135"/>
            <wp:effectExtent l="0" t="0" r="8890" b="12065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中，点击“修改”按钮可修改该标的信息。如下图：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80945"/>
            <wp:effectExtent l="0" t="0" r="12065" b="825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点击“新增股东信息”按钮，进入“新增股东信息”页面。如下图：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6850" cy="2287270"/>
            <wp:effectExtent l="0" t="0" r="6350" b="1143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填写股东信息后点击“修改保存”按钮，股东信息新增成功，直接显示在股东信息列表中。如下图：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1421765"/>
            <wp:effectExtent l="0" t="0" r="8255" b="635"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01370"/>
            <wp:effectExtent l="0" t="0" r="10160" b="11430"/>
            <wp:docPr id="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股东信息列表中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股东信息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股东信息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股东</w:t>
      </w:r>
      <w:r>
        <w:rPr>
          <w:rFonts w:hint="eastAsia"/>
          <w:lang w:eastAsia="zh-CN"/>
        </w:rPr>
        <w:t>信息。如下图</w:t>
      </w:r>
      <w:r>
        <w:rPr>
          <w:rFonts w:hint="eastAsia"/>
        </w:rPr>
        <w:t>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669290"/>
            <wp:effectExtent l="0" t="0" r="12065" b="3810"/>
            <wp:docPr id="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14、股东信息列表中，点击“修改”按钮可修改该股东信息。如下图：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425065"/>
            <wp:effectExtent l="0" t="0" r="10795" b="635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15、点击“新增审计报告”按钮，进入“新增审计报告”页面。如下图：</w:t>
      </w:r>
      <w:r>
        <w:drawing>
          <wp:inline distT="0" distB="0" distL="114300" distR="114300">
            <wp:extent cx="5274945" cy="1768475"/>
            <wp:effectExtent l="0" t="0" r="8255" b="9525"/>
            <wp:docPr id="5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16、填写审计报告信息后点击“修改保存”按钮，审计报告新增成功，直接显示在审计报告列表中。如下图：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drawing>
          <wp:inline distT="0" distB="0" distL="114300" distR="114300">
            <wp:extent cx="5271770" cy="1784350"/>
            <wp:effectExtent l="0" t="0" r="11430" b="6350"/>
            <wp:docPr id="5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17、审计报告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审计报告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审计报告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审计报告</w:t>
      </w:r>
      <w:r>
        <w:rPr>
          <w:rFonts w:hint="eastAsia"/>
          <w:lang w:eastAsia="zh-CN"/>
        </w:rPr>
        <w:t>。如下图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1135" cy="732790"/>
            <wp:effectExtent l="0" t="0" r="12065" b="3810"/>
            <wp:docPr id="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审计报告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中，点击“修改”按钮可修改该审计报告信息。如下图：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757680"/>
            <wp:effectExtent l="0" t="0" r="0" b="7620"/>
            <wp:docPr id="5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附件信息中点击“电子件管理”按钮，进入相关页面，点击“选择电子件上传”，上传相关附件。如下图：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945" cy="2286000"/>
            <wp:effectExtent l="0" t="0" r="8255" b="0"/>
            <wp:docPr id="5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635125"/>
            <wp:effectExtent l="0" t="0" r="0" b="3175"/>
            <wp:docPr id="6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该项目为“待审核”状态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230755"/>
            <wp:effectExtent l="0" t="0" r="1270" b="4445"/>
            <wp:docPr id="6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56" w:name="_Toc13694"/>
      <w:bookmarkStart w:id="57" w:name="_Toc29381"/>
      <w:r>
        <w:rPr>
          <w:rFonts w:hint="eastAsia"/>
          <w:lang w:val="en-US" w:eastAsia="zh-CN"/>
        </w:rPr>
        <w:t>实物项目登记</w:t>
      </w:r>
      <w:bookmarkEnd w:id="56"/>
      <w:bookmarkEnd w:id="57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ascii="宋体" w:hAnsi="宋体"/>
        </w:rPr>
        <w:t>无</w:t>
      </w:r>
      <w:r>
        <w:rPr>
          <w:rFonts w:hint="eastAsia" w:ascii="宋体" w:hAnsi="宋体"/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t>新</w:t>
      </w:r>
      <w:r>
        <w:rPr>
          <w:rFonts w:hint="eastAsia"/>
          <w:lang w:val="en-US" w:eastAsia="zh-CN"/>
        </w:rPr>
        <w:t>建实物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，</w:t>
      </w:r>
      <w:r>
        <w:rPr>
          <w:rFonts w:hint="eastAsia"/>
        </w:rPr>
        <w:t>审核拍卖代理提交的</w:t>
      </w:r>
      <w:r>
        <w:rPr>
          <w:rFonts w:hint="eastAsia"/>
          <w:lang w:val="en-US" w:eastAsia="zh-CN"/>
        </w:rPr>
        <w:t>实物</w:t>
      </w:r>
      <w:r>
        <w:rPr>
          <w:rFonts w:hint="eastAsia"/>
        </w:rPr>
        <w:t>项目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numPr>
          <w:ilvl w:val="0"/>
          <w:numId w:val="7"/>
        </w:numPr>
        <w:ind w:firstLine="422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点击“拍卖业务—实物项目登记”，进入实物</w:t>
      </w:r>
      <w:r>
        <w:rPr>
          <w:rFonts w:hint="eastAsia"/>
          <w:lang w:eastAsia="zh-CN"/>
        </w:rPr>
        <w:t>项目登记</w:t>
      </w:r>
      <w:r>
        <w:rPr>
          <w:rFonts w:hint="eastAsia"/>
        </w:rPr>
        <w:t>列表页面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</w:t>
      </w:r>
      <w:r>
        <w:rPr>
          <w:rFonts w:hint="eastAsia"/>
          <w:lang w:eastAsia="zh-CN"/>
        </w:rPr>
        <w:t>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553970"/>
            <wp:effectExtent l="0" t="0" r="3810" b="11430"/>
            <wp:docPr id="6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0" w:leftChars="0" w:firstLine="420" w:firstLineChars="200"/>
        <w:rPr>
          <w:rFonts w:hint="eastAsia"/>
        </w:rPr>
      </w:pPr>
      <w:r>
        <w:rPr>
          <w:rFonts w:hint="eastAsia"/>
        </w:rPr>
        <w:t>点击“</w:t>
      </w:r>
      <w:r>
        <w:rPr>
          <w:rFonts w:hint="eastAsia"/>
          <w:lang w:val="en-US" w:eastAsia="zh-CN"/>
        </w:rPr>
        <w:t>新建实物项目</w:t>
      </w:r>
      <w:r>
        <w:rPr>
          <w:rFonts w:hint="eastAsia"/>
        </w:rPr>
        <w:t>”按钮，进入“新</w:t>
      </w:r>
      <w:r>
        <w:rPr>
          <w:rFonts w:hint="eastAsia"/>
          <w:lang w:eastAsia="zh-CN"/>
        </w:rPr>
        <w:t>建</w:t>
      </w:r>
      <w:r>
        <w:rPr>
          <w:rFonts w:hint="eastAsia"/>
          <w:lang w:val="en-US" w:eastAsia="zh-CN"/>
        </w:rPr>
        <w:t>实物</w:t>
      </w:r>
      <w:r>
        <w:rPr>
          <w:rFonts w:hint="eastAsia"/>
          <w:lang w:eastAsia="zh-CN"/>
        </w:rPr>
        <w:t>项目</w:t>
      </w:r>
      <w:r>
        <w:rPr>
          <w:rFonts w:hint="eastAsia"/>
        </w:rPr>
        <w:t>”页面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填写项目信息、转让方信息、转让标的企业信息。</w:t>
      </w:r>
      <w:r>
        <w:rPr>
          <w:rFonts w:hint="eastAsia"/>
        </w:rPr>
        <w:t>如下图：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5580" cy="2480945"/>
            <wp:effectExtent l="0" t="0" r="7620" b="8255"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108"/>
        </w:tabs>
        <w:spacing w:line="600" w:lineRule="exact"/>
        <w:ind w:left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3、点击“新增标的信息”按钮，进入“新增标的信息”页面。如下图: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drawing>
          <wp:inline distT="0" distB="0" distL="114300" distR="114300">
            <wp:extent cx="5267960" cy="2375535"/>
            <wp:effectExtent l="0" t="0" r="2540" b="12065"/>
            <wp:docPr id="6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4、填写页面信息，点击“修改保存”按钮，标的信息新增成功，直接显示在标的信息列表中。如下图： </w:t>
      </w:r>
      <w:r>
        <w:drawing>
          <wp:inline distT="0" distB="0" distL="114300" distR="114300">
            <wp:extent cx="5277485" cy="3528695"/>
            <wp:effectExtent l="0" t="0" r="5715" b="1905"/>
            <wp:docPr id="7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5580" cy="591820"/>
            <wp:effectExtent l="0" t="0" r="7620" b="5080"/>
            <wp:docPr id="7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注：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lang w:val="en-US" w:eastAsia="zh-CN"/>
        </w:rPr>
        <w:t>挂牌价：</w:t>
      </w:r>
      <w:r>
        <w:t>设置竞价规则中的起始价就是获取的挂牌价</w:t>
      </w:r>
      <w:r>
        <w:rPr>
          <w:rFonts w:hint="eastAsia"/>
        </w:rPr>
        <w:t>（在</w:t>
      </w:r>
      <w:r>
        <w:t>设定竞价规则中无法修改）</w:t>
      </w:r>
      <w:r>
        <w:rPr>
          <w:rFonts w:hint="eastAsia"/>
          <w:lang w:eastAsia="zh-CN"/>
        </w:rPr>
        <w:t>；</w:t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</w:rPr>
        <w:t>保证金截止</w:t>
      </w:r>
      <w:r>
        <w:rPr>
          <w:rFonts w:hint="eastAsia"/>
          <w:lang w:val="en-US" w:eastAsia="zh-CN"/>
        </w:rPr>
        <w:t>时间</w:t>
      </w:r>
      <w:r>
        <w:rPr>
          <w:rFonts w:hint="eastAsia"/>
        </w:rPr>
        <w:t>：保证金截止时间</w:t>
      </w:r>
      <w:r>
        <w:rPr>
          <w:rFonts w:hint="eastAsia"/>
          <w:lang w:val="en-US" w:eastAsia="zh-CN"/>
        </w:rPr>
        <w:t>要晚于交易公告发布时间早于交易公告截止时间，保证金截止时间到了将无法缴纳保证金。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③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产权交易可以新增多个标的。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</w:t>
      </w:r>
      <w:r>
        <w:rPr>
          <w:rFonts w:hint="eastAsia"/>
        </w:rPr>
        <w:t>，选中要删除的</w:t>
      </w:r>
      <w:r>
        <w:rPr>
          <w:rFonts w:hint="eastAsia"/>
          <w:lang w:val="en-US" w:eastAsia="zh-CN"/>
        </w:rPr>
        <w:t>标的</w:t>
      </w:r>
      <w:r>
        <w:rPr>
          <w:rFonts w:hint="eastAsia"/>
        </w:rPr>
        <w:t>，点击“删除</w:t>
      </w:r>
      <w:r>
        <w:rPr>
          <w:rFonts w:hint="eastAsia"/>
          <w:lang w:val="en-US" w:eastAsia="zh-CN"/>
        </w:rPr>
        <w:t>标的信息</w:t>
      </w:r>
      <w:r>
        <w:rPr>
          <w:rFonts w:hint="eastAsia"/>
        </w:rPr>
        <w:t>”按钮，可删除该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信息。如下图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641985"/>
            <wp:effectExtent l="0" t="0" r="8890" b="5715"/>
            <wp:docPr id="7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840" w:leftChars="200" w:hanging="420" w:hanging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6、标的信息</w:t>
      </w:r>
      <w:r>
        <w:rPr>
          <w:rFonts w:hint="eastAsia"/>
        </w:rPr>
        <w:t>列表</w:t>
      </w:r>
      <w:r>
        <w:rPr>
          <w:rFonts w:hint="eastAsia"/>
          <w:lang w:val="en-US" w:eastAsia="zh-CN"/>
        </w:rPr>
        <w:t>中，点击“修改”按钮可修改该标的信息。如下图：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503805"/>
            <wp:effectExtent l="0" t="0" r="10160" b="10795"/>
            <wp:docPr id="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left="0" w:leftChars="0"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7、附件信息中点击“电子件管理”按钮，进入相关页面，点击“选择电子件上传”，上传相关附件。如下图：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71135" cy="784225"/>
            <wp:effectExtent l="0" t="0" r="12065" b="3175"/>
            <wp:docPr id="7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6850" cy="1760855"/>
            <wp:effectExtent l="0" t="0" r="6350" b="4445"/>
            <wp:docPr id="7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ind w:left="0" w:leftChars="0" w:firstLine="420" w:firstLineChars="200"/>
        <w:jc w:val="left"/>
      </w:pPr>
      <w:r>
        <w:rPr>
          <w:rFonts w:hint="eastAsia"/>
          <w:lang w:val="en-US" w:eastAsia="zh-CN"/>
        </w:rPr>
        <w:t>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，则暂时不提交，该</w:t>
      </w:r>
      <w:r>
        <w:rPr>
          <w:rFonts w:hint="eastAsia"/>
          <w:lang w:val="en-US" w:eastAsia="zh-CN"/>
        </w:rPr>
        <w:t>项目</w:t>
      </w:r>
      <w:r>
        <w:rPr>
          <w:rFonts w:hint="eastAsia"/>
        </w:rPr>
        <w:t>为</w:t>
      </w:r>
      <w:r>
        <w:rPr>
          <w:rFonts w:hint="eastAsia"/>
          <w:lang w:eastAsia="zh-CN"/>
        </w:rPr>
        <w:t>“</w:t>
      </w:r>
      <w:r>
        <w:rPr>
          <w:rFonts w:hint="eastAsia"/>
        </w:rPr>
        <w:t>编辑</w:t>
      </w:r>
      <w:r>
        <w:rPr>
          <w:rFonts w:hint="eastAsia"/>
          <w:lang w:val="en-US" w:eastAsia="zh-CN"/>
        </w:rPr>
        <w:t>中</w:t>
      </w:r>
      <w:r>
        <w:rPr>
          <w:rFonts w:hint="eastAsia"/>
          <w:lang w:eastAsia="zh-CN"/>
        </w:rPr>
        <w:t>”</w:t>
      </w:r>
      <w:r>
        <w:rPr>
          <w:rFonts w:hint="eastAsia"/>
        </w:rPr>
        <w:t>状态，以后可以修改再提交审核</w:t>
      </w:r>
      <w:r>
        <w:rPr>
          <w:rFonts w:hint="eastAsia"/>
          <w:lang w:eastAsia="zh-CN"/>
        </w:rPr>
        <w:t>。</w:t>
      </w:r>
      <w:r>
        <w:rPr>
          <w:rFonts w:hint="eastAsia"/>
        </w:rPr>
        <w:t>点击“提交信息”按钮，</w:t>
      </w:r>
      <w:r>
        <w:rPr>
          <w:rFonts w:hint="eastAsia"/>
          <w:lang w:eastAsia="zh-CN"/>
        </w:rPr>
        <w:t>弹出“请输入意见”框，</w:t>
      </w:r>
      <w:r>
        <w:rPr>
          <w:rFonts w:hint="eastAsia"/>
          <w:lang w:val="en-US" w:eastAsia="zh-CN"/>
        </w:rPr>
        <w:t>输入意见后</w:t>
      </w:r>
      <w:r>
        <w:rPr>
          <w:rFonts w:hint="eastAsia"/>
          <w:lang w:eastAsia="zh-CN"/>
        </w:rPr>
        <w:t>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该项目为“待审核”状态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如下图：</w:t>
      </w:r>
      <w:r>
        <w:drawing>
          <wp:inline distT="0" distB="0" distL="114300" distR="114300">
            <wp:extent cx="5271770" cy="1863090"/>
            <wp:effectExtent l="0" t="0" r="11430" b="3810"/>
            <wp:docPr id="7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58" w:name="_Toc28185"/>
      <w:r>
        <w:rPr>
          <w:rFonts w:hint="eastAsia"/>
          <w:lang w:val="en-US" w:eastAsia="zh-CN"/>
        </w:rPr>
        <w:t>交易公告备案</w:t>
      </w:r>
      <w:bookmarkEnd w:id="58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 w:val="0"/>
          <w:bCs/>
          <w:lang w:val="en-US" w:eastAsia="zh-CN"/>
        </w:rPr>
        <w:t>股权</w:t>
      </w:r>
      <w:r>
        <w:rPr>
          <w:rFonts w:hint="eastAsia" w:ascii="宋体" w:hAnsi="宋体"/>
          <w:bCs/>
        </w:rPr>
        <w:t>项目</w:t>
      </w:r>
      <w:r>
        <w:rPr>
          <w:rFonts w:hint="eastAsia" w:ascii="宋体" w:hAnsi="宋体"/>
          <w:bCs/>
          <w:lang w:eastAsia="zh-CN"/>
        </w:rPr>
        <w:t>登记</w:t>
      </w:r>
      <w:r>
        <w:rPr>
          <w:rFonts w:hint="eastAsia" w:ascii="宋体" w:hAnsi="宋体"/>
          <w:bCs/>
          <w:lang w:val="en-US" w:eastAsia="zh-CN"/>
        </w:rPr>
        <w:t>或产权项目登记</w:t>
      </w:r>
      <w:r>
        <w:rPr>
          <w:rFonts w:hint="eastAsia" w:ascii="宋体" w:hAnsi="宋体"/>
          <w:bCs/>
        </w:rPr>
        <w:t>新增完毕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编制</w:t>
      </w:r>
      <w:r>
        <w:rPr>
          <w:rFonts w:hint="eastAsia" w:ascii="宋体" w:hAnsi="宋体"/>
        </w:rPr>
        <w:t>交易公告</w:t>
      </w:r>
      <w:r>
        <w:rPr>
          <w:rFonts w:hint="eastAsia" w:ascii="宋体" w:hAnsi="宋体"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8"/>
        </w:numPr>
        <w:ind w:firstLine="42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点击“拍卖业务—交易公告备案”，进入交易公告备案</w:t>
      </w:r>
      <w:r>
        <w:rPr>
          <w:rFonts w:hint="eastAsia"/>
        </w:rPr>
        <w:t>列表页面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</w:t>
      </w:r>
      <w:r>
        <w:rPr>
          <w:rFonts w:hint="eastAsia"/>
          <w:lang w:eastAsia="zh-CN"/>
        </w:rPr>
        <w:t>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553970"/>
            <wp:effectExtent l="0" t="0" r="3810" b="11430"/>
            <wp:docPr id="7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8"/>
        </w:numPr>
        <w:ind w:left="0" w:leftChars="0"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点击“新增交易公告”，进入新增交易公告页面，填写交易公告备案页面信息。如下图：</w:t>
      </w:r>
    </w:p>
    <w:p>
      <w:pPr>
        <w:pStyle w:val="26"/>
        <w:numPr>
          <w:ilvl w:val="0"/>
          <w:numId w:val="0"/>
        </w:numPr>
      </w:pPr>
      <w:r>
        <w:drawing>
          <wp:inline distT="0" distB="0" distL="114300" distR="114300">
            <wp:extent cx="5267325" cy="2447290"/>
            <wp:effectExtent l="0" t="0" r="3175" b="3810"/>
            <wp:docPr id="8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numPr>
          <w:ilvl w:val="0"/>
          <w:numId w:val="0"/>
        </w:numPr>
        <w:spacing w:line="360" w:lineRule="auto"/>
        <w:ind w:left="420" w:leftChars="200" w:firstLine="0" w:firstLine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>
      <w:pPr>
        <w:tabs>
          <w:tab w:val="left" w:pos="1108"/>
        </w:tabs>
        <w:spacing w:line="360" w:lineRule="auto"/>
        <w:jc w:val="left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交易公告中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报名是否审核，选是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，需在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报名审核模块中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进行审核，选否不需要进行审核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</w:rPr>
        <w:t>公告发布截至时间不能早于公告发布开始时间</w:t>
      </w:r>
      <w:r>
        <w:rPr>
          <w:rFonts w:hint="eastAsia"/>
          <w:lang w:eastAsia="zh-CN"/>
        </w:rPr>
        <w:t>，公告</w:t>
      </w:r>
      <w:r>
        <w:rPr>
          <w:rFonts w:hint="eastAsia"/>
        </w:rPr>
        <w:t>开始时间必须早于保证金截止时间，</w:t>
      </w:r>
      <w:r>
        <w:rPr>
          <w:rFonts w:hint="eastAsia"/>
          <w:lang w:eastAsia="zh-CN"/>
        </w:rPr>
        <w:t>公告</w:t>
      </w:r>
      <w:r>
        <w:rPr>
          <w:rFonts w:hint="eastAsia"/>
        </w:rPr>
        <w:t>截止时间必须晚于保证金截止时间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8"/>
        </w:numPr>
        <w:tabs>
          <w:tab w:val="left" w:pos="1108"/>
        </w:tabs>
        <w:spacing w:line="360" w:lineRule="auto"/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附件信息中点击“电子件管理”按钮，进入相关页面，点击“选择电子件上传”，上传相关附件。如下图：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040" cy="485140"/>
            <wp:effectExtent l="0" t="0" r="10160" b="10160"/>
            <wp:docPr id="8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709420"/>
            <wp:effectExtent l="0" t="0" r="10795" b="5080"/>
            <wp:docPr id="8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8"/>
        </w:numPr>
        <w:ind w:left="0" w:leftChars="0" w:firstLine="420" w:firstLine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</w:t>
      </w:r>
      <w:r>
        <w:rPr>
          <w:rFonts w:hint="eastAsia"/>
          <w:lang w:eastAsia="zh-CN"/>
        </w:rPr>
        <w:t>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点击“提交信息”按钮，</w:t>
      </w:r>
      <w:r>
        <w:rPr>
          <w:rFonts w:hint="eastAsia"/>
        </w:rPr>
        <w:t>提交交易平台审核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"/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1888490"/>
            <wp:effectExtent l="0" t="0" r="635" b="3810"/>
            <wp:docPr id="8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59" w:name="_Toc13144"/>
      <w:r>
        <w:rPr>
          <w:rFonts w:hint="eastAsia"/>
          <w:lang w:val="en-US" w:eastAsia="zh-CN"/>
        </w:rPr>
        <w:t>澄清公告备案</w:t>
      </w:r>
      <w:bookmarkEnd w:id="59"/>
    </w:p>
    <w:p>
      <w:pPr>
        <w:ind w:firstLine="422"/>
        <w:rPr>
          <w:rFonts w:ascii="宋体" w:hAnsi="宋体"/>
        </w:rPr>
      </w:pPr>
      <w:r>
        <w:rPr>
          <w:rFonts w:ascii="宋体" w:hAnsi="宋体"/>
          <w:b/>
        </w:rPr>
        <w:t>前提条件：</w:t>
      </w:r>
      <w:r>
        <w:rPr>
          <w:rFonts w:hint="eastAsia" w:ascii="宋体" w:hAnsi="宋体"/>
          <w:bCs/>
        </w:rPr>
        <w:t>交易公告备案完毕。</w:t>
      </w:r>
    </w:p>
    <w:p>
      <w:pPr>
        <w:ind w:firstLine="422"/>
        <w:rPr>
          <w:rFonts w:hint="eastAsia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 w:ascii="宋体" w:hAnsi="宋体"/>
        </w:rPr>
        <w:t>澄清公告</w:t>
      </w:r>
      <w:r>
        <w:rPr>
          <w:rFonts w:hint="eastAsia" w:ascii="宋体" w:hAnsi="宋体"/>
          <w:lang w:val="en-US"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9"/>
        </w:numPr>
        <w:ind w:firstLine="420" w:firstLineChars="20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点击“拍卖业务—澄清公告备案”，进入澄清公告备案</w:t>
      </w:r>
      <w:r>
        <w:rPr>
          <w:rFonts w:hint="eastAsia"/>
        </w:rPr>
        <w:t>列表页面</w:t>
      </w:r>
      <w:r>
        <w:rPr>
          <w:rFonts w:hint="eastAsia"/>
          <w:lang w:eastAsia="zh-CN"/>
        </w:rPr>
        <w:t>。</w:t>
      </w:r>
      <w:r>
        <w:rPr>
          <w:rFonts w:hint="eastAsia"/>
        </w:rPr>
        <w:t>如下图</w:t>
      </w:r>
      <w:r>
        <w:rPr>
          <w:rFonts w:hint="eastAsia"/>
          <w:lang w:eastAsia="zh-CN"/>
        </w:rPr>
        <w:t>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553970"/>
            <wp:effectExtent l="0" t="0" r="381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9"/>
        </w:numPr>
        <w:ind w:left="0" w:leftChars="0" w:firstLine="420" w:firstLineChars="200"/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点击“新增澄清公告”，进入新增澄清公告页面，填写页面信息。如下图</w:t>
      </w:r>
      <w:r>
        <w:rPr>
          <w:rFonts w:hint="eastAsia"/>
          <w:b w:val="0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pStyle w:val="2"/>
        <w:numPr>
          <w:ilvl w:val="0"/>
          <w:numId w:val="0"/>
        </w:numPr>
        <w:ind w:left="840" w:hanging="840" w:hangingChars="400"/>
      </w:pPr>
      <w:r>
        <w:drawing>
          <wp:inline distT="0" distB="0" distL="114300" distR="114300">
            <wp:extent cx="5270500" cy="23863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="840" w:leftChars="200" w:hanging="420" w:hangingChars="200"/>
        <w:rPr>
          <w:rFonts w:hint="eastAsia"/>
          <w:lang w:eastAsia="zh-CN"/>
        </w:rPr>
      </w:pPr>
      <w:r>
        <w:rPr>
          <w:rFonts w:hint="eastAsia"/>
        </w:rPr>
        <w:t>注：</w:t>
      </w:r>
      <w:r>
        <w:rPr>
          <w:rFonts w:hint="eastAsia"/>
          <w:lang w:eastAsia="zh-CN"/>
        </w:rPr>
        <w:t>澄清</w:t>
      </w:r>
      <w:r>
        <w:rPr>
          <w:rFonts w:hint="eastAsia"/>
        </w:rPr>
        <w:t>公告发布截至时间不能早于公告发布开始时间</w:t>
      </w:r>
      <w:r>
        <w:rPr>
          <w:rFonts w:hint="eastAsia"/>
          <w:lang w:eastAsia="zh-CN"/>
        </w:rPr>
        <w:t>。</w:t>
      </w:r>
    </w:p>
    <w:p>
      <w:pPr>
        <w:pStyle w:val="2"/>
        <w:numPr>
          <w:ilvl w:val="0"/>
          <w:numId w:val="9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附件信息中点击“电子件管理”按钮，进入相关页面，点击“选择电子件上传”，上传相关附件。如下图：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520065"/>
            <wp:effectExtent l="0" t="0" r="8890" b="63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4945" cy="1656715"/>
            <wp:effectExtent l="0" t="0" r="8255" b="698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4、页面信息填写完整后，点击“</w:t>
      </w:r>
      <w:r>
        <w:rPr>
          <w:rFonts w:hint="eastAsia"/>
        </w:rPr>
        <w:t>修改保存”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，则暂时不提交</w:t>
      </w:r>
      <w:r>
        <w:rPr>
          <w:rFonts w:hint="eastAsia"/>
          <w:lang w:eastAsia="zh-CN"/>
        </w:rPr>
        <w:t>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点击“提交信息”按钮，</w:t>
      </w:r>
      <w:r>
        <w:rPr>
          <w:rFonts w:hint="eastAsia"/>
        </w:rPr>
        <w:t>提交平台审核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6215" cy="1455420"/>
            <wp:effectExtent l="0" t="0" r="6985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：目前产权交易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澄清公告只可新增一次。</w:t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60" w:name="_Toc8407"/>
      <w:bookmarkStart w:id="61" w:name="_Toc1477"/>
      <w:r>
        <w:rPr>
          <w:rFonts w:hint="eastAsia"/>
          <w:lang w:val="en-US" w:eastAsia="zh-CN"/>
        </w:rPr>
        <w:t>报名审核</w:t>
      </w:r>
      <w:bookmarkEnd w:id="60"/>
      <w:bookmarkEnd w:id="61"/>
    </w:p>
    <w:p>
      <w:pPr>
        <w:tabs>
          <w:tab w:val="left" w:pos="1108"/>
        </w:tabs>
        <w:spacing w:line="600" w:lineRule="exact"/>
        <w:jc w:val="left"/>
        <w:rPr>
          <w:rFonts w:hint="eastAsia" w:ascii="宋体" w:hAnsi="宋体" w:cs="宋体"/>
          <w:color w:val="000000"/>
          <w:lang w:val="en-US"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 w:cs="宋体"/>
          <w:color w:val="000000"/>
          <w:lang w:val="en-US" w:eastAsia="zh-CN"/>
        </w:rPr>
        <w:t>交易公告发布后。</w:t>
      </w:r>
    </w:p>
    <w:p>
      <w:pPr>
        <w:ind w:firstLine="422"/>
        <w:rPr>
          <w:rFonts w:ascii="宋体" w:hAnsi="宋体"/>
          <w:lang w:val="en-US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审查报名单位资格；查看报名单位保证金缴纳情况。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10"/>
        </w:numPr>
        <w:ind w:firstLine="420" w:firstLineChars="200"/>
        <w:rPr>
          <w:rFonts w:hint="eastAsia" w:ascii="宋体" w:hAnsi="宋体" w:eastAsia="思源宋体 CN Light" w:cs="思源宋体 CN Light"/>
          <w:b w:val="0"/>
          <w:bCs/>
          <w:color w:val="auto"/>
          <w:kern w:val="2"/>
          <w:sz w:val="21"/>
          <w:szCs w:val="21"/>
          <w:lang w:val="en-US" w:eastAsia="zh-CN" w:bidi="ar-SA"/>
        </w:rPr>
      </w:pPr>
      <w:r>
        <w:rPr>
          <w:rFonts w:hint="eastAsia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</w:rPr>
        <w:t>“</w:t>
      </w:r>
      <w:r>
        <w:rPr>
          <w:rFonts w:hint="eastAsia" w:ascii="宋体" w:hAnsi="宋体" w:eastAsia="思源宋体 CN Light" w:cs="思源宋体 CN Light"/>
          <w:b w:val="0"/>
          <w:bCs/>
          <w:color w:val="auto"/>
          <w:kern w:val="2"/>
          <w:sz w:val="21"/>
          <w:szCs w:val="21"/>
          <w:lang w:val="en-US" w:eastAsia="zh-CN" w:bidi="ar-SA"/>
        </w:rPr>
        <w:t>拍卖业务—报名审核”菜单，进入报名审核页面</w:t>
      </w:r>
      <w:r>
        <w:rPr>
          <w:rFonts w:hint="eastAsia" w:ascii="宋体" w:hAnsi="宋体" w:cs="思源宋体 CN Light"/>
          <w:b w:val="0"/>
          <w:bCs/>
          <w:color w:val="auto"/>
          <w:kern w:val="2"/>
          <w:sz w:val="21"/>
          <w:szCs w:val="21"/>
          <w:lang w:val="en-US" w:eastAsia="zh-CN" w:bidi="ar-SA"/>
        </w:rPr>
        <w:t>。如下图</w:t>
      </w:r>
      <w:r>
        <w:rPr>
          <w:rFonts w:hint="eastAsia" w:ascii="宋体" w:hAnsi="宋体" w:eastAsia="思源宋体 CN Light" w:cs="思源宋体 CN Light"/>
          <w:b w:val="0"/>
          <w:bCs/>
          <w:color w:val="auto"/>
          <w:kern w:val="2"/>
          <w:sz w:val="21"/>
          <w:szCs w:val="21"/>
          <w:lang w:val="en-US" w:eastAsia="zh-CN" w:bidi="ar-SA"/>
        </w:rPr>
        <w:t>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6690" cy="2553970"/>
            <wp:effectExtent l="0" t="0" r="3810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点击“操作”按钮，进入查看报名信息页面。如下图：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3675" cy="1124585"/>
            <wp:effectExtent l="0" t="0" r="9525" b="571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945" cy="1851025"/>
            <wp:effectExtent l="0" t="0" r="8255" b="317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报名信息处会显示报名单位数。</w:t>
      </w:r>
    </w:p>
    <w:p>
      <w:pPr>
        <w:pStyle w:val="2"/>
        <w:numPr>
          <w:ilvl w:val="0"/>
          <w:numId w:val="0"/>
        </w:numPr>
        <w:ind w:firstLine="420" w:firstLineChars="200"/>
        <w:rPr>
          <w:rFonts w:hint="eastAsia" w:eastAsia="思源宋体 CN Light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②交易公告中勾选了</w:t>
      </w:r>
      <w:r>
        <w:rPr>
          <w:rFonts w:hint="eastAsia" w:ascii="宋体" w:hAnsi="宋体" w:cs="宋体"/>
          <w:color w:val="000000"/>
        </w:rPr>
        <w:t>需要审</w:t>
      </w:r>
      <w:r>
        <w:rPr>
          <w:rFonts w:hint="eastAsia" w:ascii="宋体" w:hAnsi="宋体" w:cs="宋体"/>
          <w:color w:val="000000"/>
          <w:lang w:val="en-US" w:eastAsia="zh-CN"/>
        </w:rPr>
        <w:t>查资格</w:t>
      </w:r>
      <w:r>
        <w:rPr>
          <w:rFonts w:hint="eastAsia" w:ascii="宋体" w:hAnsi="宋体" w:cs="宋体"/>
          <w:color w:val="000000"/>
        </w:rPr>
        <w:t>的</w:t>
      </w:r>
      <w:r>
        <w:rPr>
          <w:rFonts w:hint="eastAsia" w:ascii="宋体" w:hAnsi="宋体" w:cs="宋体"/>
          <w:color w:val="000000"/>
          <w:lang w:val="en-US" w:eastAsia="zh-CN"/>
        </w:rPr>
        <w:t>标的</w:t>
      </w:r>
      <w:r>
        <w:rPr>
          <w:rFonts w:hint="eastAsia" w:ascii="宋体" w:hAnsi="宋体" w:cs="宋体"/>
          <w:color w:val="000000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在竞买人</w:t>
      </w:r>
      <w:r>
        <w:rPr>
          <w:rFonts w:hint="eastAsia" w:ascii="宋体" w:hAnsi="宋体" w:cs="宋体"/>
          <w:color w:val="000000"/>
        </w:rPr>
        <w:t>报名后，报名</w:t>
      </w:r>
      <w:r>
        <w:rPr>
          <w:rFonts w:hint="eastAsia" w:ascii="宋体" w:hAnsi="宋体" w:cs="宋体"/>
          <w:color w:val="000000"/>
          <w:lang w:val="en-US" w:eastAsia="zh-CN"/>
        </w:rPr>
        <w:t>审核</w:t>
      </w:r>
      <w:r>
        <w:rPr>
          <w:rFonts w:hint="eastAsia" w:ascii="宋体" w:hAnsi="宋体" w:cs="宋体"/>
          <w:color w:val="000000"/>
        </w:rPr>
        <w:t>处资格审查显示未审核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且会出现“</w:t>
      </w:r>
      <w:r>
        <w:drawing>
          <wp:inline distT="0" distB="0" distL="114300" distR="114300">
            <wp:extent cx="266700" cy="241300"/>
            <wp:effectExtent l="0" t="0" r="0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lang w:val="en-US" w:eastAsia="zh-CN"/>
        </w:rPr>
        <w:t>”资格审查按钮。如下图：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6215" cy="875030"/>
            <wp:effectExtent l="0" t="0" r="6985" b="1270"/>
            <wp:docPr id="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 w:ascii="宋体" w:hAnsi="宋体" w:cs="宋体"/>
          <w:color w:val="000000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="宋体"/>
          <w:color w:val="000000"/>
          <w:lang w:val="en-US" w:eastAsia="zh-CN"/>
        </w:rPr>
        <w:t>无需资格审查的标的，在竞买人</w:t>
      </w:r>
      <w:r>
        <w:rPr>
          <w:rFonts w:hint="eastAsia" w:ascii="宋体" w:hAnsi="宋体" w:cs="宋体"/>
          <w:color w:val="000000"/>
        </w:rPr>
        <w:t>报名后，报名信息处</w:t>
      </w:r>
      <w:r>
        <w:rPr>
          <w:rFonts w:hint="eastAsia" w:ascii="宋体" w:hAnsi="宋体" w:cs="宋体"/>
          <w:color w:val="000000"/>
          <w:lang w:eastAsia="zh-CN"/>
        </w:rPr>
        <w:t>，</w:t>
      </w:r>
      <w:r>
        <w:rPr>
          <w:rFonts w:hint="eastAsia" w:ascii="宋体" w:hAnsi="宋体" w:cs="宋体"/>
          <w:color w:val="000000"/>
          <w:lang w:val="en-US" w:eastAsia="zh-CN"/>
        </w:rPr>
        <w:t>资格审查显示无需审核，且不会出现“</w:t>
      </w:r>
      <w:r>
        <w:drawing>
          <wp:inline distT="0" distB="0" distL="114300" distR="114300">
            <wp:extent cx="266700" cy="241300"/>
            <wp:effectExtent l="0" t="0" r="0" b="0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00000"/>
          <w:lang w:val="en-US" w:eastAsia="zh-CN"/>
        </w:rPr>
        <w:t>”资格审查按钮。</w:t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3、需要资格审查的标的，需要先点击“资格审查”按钮，进入审查页面。如下图：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6850" cy="871220"/>
            <wp:effectExtent l="0" t="0" r="6350" b="5080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476375"/>
            <wp:effectExtent l="0" t="0" r="635" b="952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108"/>
        </w:tabs>
        <w:spacing w:line="600" w:lineRule="exact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注：</w:t>
      </w:r>
    </w:p>
    <w:p>
      <w:pPr>
        <w:bidi w:val="0"/>
        <w:rPr>
          <w:rFonts w:hint="eastAsia"/>
        </w:rPr>
      </w:pPr>
      <w:r>
        <w:rPr>
          <w:rFonts w:hint="eastAsia"/>
        </w:rPr>
        <w:t>①选择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资格审查通过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，资格审查状态会显示为已通过，</w:t>
      </w:r>
      <w:r>
        <w:rPr>
          <w:rFonts w:hint="eastAsia"/>
          <w:lang w:val="en-US" w:eastAsia="zh-CN"/>
        </w:rPr>
        <w:t>通过后竞买人才能获取到保证金账号缴纳保证金，缴纳后</w:t>
      </w:r>
      <w:r>
        <w:rPr>
          <w:rFonts w:hint="eastAsia"/>
        </w:rPr>
        <w:t>获取资格通知书，此时</w:t>
      </w:r>
      <w:r>
        <w:rPr>
          <w:rFonts w:hint="eastAsia"/>
          <w:lang w:val="en-US" w:eastAsia="zh-CN"/>
        </w:rPr>
        <w:t>再点击资格按钮进入</w:t>
      </w:r>
      <w:r>
        <w:rPr>
          <w:rFonts w:hint="eastAsia"/>
        </w:rPr>
        <w:t>审核页面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资格审查通过、资格审查退回按钮会消失，无法再进行操作。</w:t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②选择</w:t>
      </w:r>
      <w:r>
        <w:rPr>
          <w:rFonts w:hint="eastAsia"/>
          <w:lang w:eastAsia="zh-CN"/>
        </w:rPr>
        <w:t>“</w:t>
      </w:r>
      <w:r>
        <w:rPr>
          <w:rFonts w:hint="eastAsia"/>
        </w:rPr>
        <w:t>资格审查退回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，审核不通过原因为必填项，退回即审核不通过，资格审查状态会显示为未通过，此时，审核页面的资格审查通过、资格审查退回按钮仍然存在，可以继续操作。但是在会员端，</w:t>
      </w:r>
      <w:r>
        <w:rPr>
          <w:rFonts w:hint="eastAsia"/>
          <w:lang w:eastAsia="zh-CN"/>
        </w:rPr>
        <w:t>如果还处于报名流程页面，点击页面中资格通知书按钮，会提示“页面和申购步骤不一致，请联系管理员”。</w:t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62" w:name="_Toc14915"/>
      <w:bookmarkStart w:id="63" w:name="_Toc14295"/>
      <w:r>
        <w:rPr>
          <w:rFonts w:hint="eastAsia"/>
          <w:lang w:val="en-US" w:eastAsia="zh-CN"/>
        </w:rPr>
        <w:t>设定竞价规则</w:t>
      </w:r>
      <w:bookmarkEnd w:id="62"/>
      <w:bookmarkEnd w:id="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/>
        <w:textAlignment w:val="auto"/>
        <w:outlineLvl w:val="9"/>
        <w:rPr>
          <w:rFonts w:hint="eastAsia" w:ascii="宋体" w:hAnsi="宋体" w:eastAsia="宋体"/>
          <w:b/>
          <w:lang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eastAsia="zh-CN"/>
        </w:rPr>
        <w:t>交易公告已发布，且交易方式为拍卖，挂牌转让（如选择协议转让，报名人数必须大于等于</w:t>
      </w:r>
      <w:r>
        <w:rPr>
          <w:rFonts w:hint="eastAsia" w:ascii="宋体" w:hAnsi="宋体"/>
          <w:b w:val="0"/>
          <w:bCs/>
          <w:lang w:val="en-US" w:eastAsia="zh-CN"/>
        </w:rPr>
        <w:t>2名</w:t>
      </w:r>
      <w:r>
        <w:rPr>
          <w:rFonts w:hint="eastAsia" w:ascii="宋体" w:hAnsi="宋体"/>
          <w:b w:val="0"/>
          <w:bCs/>
          <w:lang w:eastAsia="zh-CN"/>
        </w:rPr>
        <w:t>）的标的。</w:t>
      </w:r>
    </w:p>
    <w:p>
      <w:pPr>
        <w:ind w:left="0" w:leftChars="0" w:firstLine="422" w:firstLineChars="200"/>
        <w:rPr>
          <w:rFonts w:hint="eastAsia" w:ascii="宋体" w:hAnsi="宋体" w:eastAsia="宋体"/>
          <w:lang w:val="en-US"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设定标的的竞价规则</w:t>
      </w:r>
      <w:r>
        <w:rPr>
          <w:rFonts w:hint="eastAsia" w:ascii="宋体" w:hAnsi="宋体"/>
          <w:bCs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拍卖业务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设定竞价规则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菜单</w:t>
      </w:r>
      <w:r>
        <w:t>，</w:t>
      </w:r>
      <w:r>
        <w:rPr>
          <w:rFonts w:hint="eastAsia"/>
          <w:lang w:val="en-US" w:eastAsia="zh-CN"/>
        </w:rPr>
        <w:t>进入设定竞价规则页面。如下图：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2、点击“新增竞价规则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按钮，进入设定竞价规则信息页面。如下图：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178050"/>
            <wp:effectExtent l="0" t="0" r="635" b="6350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注：预订竞价日期和起始时间设置竞价开始时间；竞价时长设置竞价持续的时间；竞价延时时段设置延时竞价的持续时间。</w:t>
      </w:r>
    </w:p>
    <w:p>
      <w:pPr>
        <w:pStyle w:val="2"/>
        <w:numPr>
          <w:ilvl w:val="0"/>
          <w:numId w:val="10"/>
        </w:numPr>
        <w:ind w:left="0"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步长</w:t>
      </w:r>
      <w:r>
        <w:rPr>
          <w:rFonts w:hint="eastAsia"/>
        </w:rPr>
        <w:t>类型如果选择“可变步长”，则可以设置步长规则，点击“设置步长规则”按钮，弹出设置步长页面</w:t>
      </w:r>
      <w:r>
        <w:rPr>
          <w:rFonts w:hint="eastAsia"/>
          <w:lang w:eastAsia="zh-CN"/>
        </w:rPr>
        <w:t>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8595" cy="2241550"/>
            <wp:effectExtent l="0" t="0" r="1905" b="635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输入档次，点击刷新档次，设置步长规则，点击“确认设置”按钮，回到新增竞价项目信息页面</w:t>
      </w:r>
      <w:r>
        <w:rPr>
          <w:rFonts w:hint="eastAsia"/>
          <w:lang w:eastAsia="zh-CN"/>
        </w:rPr>
        <w:t>。如下图</w:t>
      </w:r>
      <w:r>
        <w:rPr>
          <w:rFonts w:hint="eastAsia"/>
          <w:lang w:val="en-US" w:eastAsia="zh-CN"/>
        </w:rPr>
        <w:t>：</w:t>
      </w:r>
    </w:p>
    <w:p>
      <w:pPr>
        <w:pStyle w:val="2"/>
        <w:numPr>
          <w:ilvl w:val="0"/>
          <w:numId w:val="0"/>
        </w:numPr>
        <w:jc w:val="center"/>
      </w:pPr>
      <w:r>
        <w:drawing>
          <wp:inline distT="0" distB="0" distL="114300" distR="114300">
            <wp:extent cx="4178300" cy="1619250"/>
            <wp:effectExtent l="0" t="0" r="0" b="635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8120" cy="1939290"/>
            <wp:effectExtent l="0" t="0" r="5080" b="3810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eastAsia="zh-CN"/>
        </w:rPr>
      </w:pPr>
      <w:r>
        <w:rPr>
          <w:rFonts w:hint="eastAsia"/>
        </w:rPr>
        <w:t>注：</w:t>
      </w:r>
      <w:r>
        <w:rPr>
          <w:rFonts w:hint="eastAsia"/>
          <w:lang w:eastAsia="zh-CN"/>
        </w:rPr>
        <w:t>竞价方式为加价，则</w:t>
      </w:r>
      <w:r>
        <w:rPr>
          <w:rFonts w:hint="eastAsia"/>
        </w:rPr>
        <w:t>下一档的“满此金额”必须大于上一档的“满此金额”，下一档的步长要小于上一档的步长</w:t>
      </w:r>
      <w:r>
        <w:rPr>
          <w:rFonts w:hint="eastAsia"/>
          <w:lang w:eastAsia="zh-CN"/>
        </w:rPr>
        <w:t>；竞价方式为减价、或荷兰式，则</w:t>
      </w:r>
      <w:r>
        <w:rPr>
          <w:rFonts w:hint="eastAsia"/>
        </w:rPr>
        <w:t>下一档的“满此金额”必须</w:t>
      </w:r>
      <w:r>
        <w:rPr>
          <w:rFonts w:hint="eastAsia"/>
          <w:lang w:eastAsia="zh-CN"/>
        </w:rPr>
        <w:t>小于</w:t>
      </w:r>
      <w:r>
        <w:rPr>
          <w:rFonts w:hint="eastAsia"/>
        </w:rPr>
        <w:t>上一档的“满此金额”，下一档的步长</w:t>
      </w:r>
      <w:r>
        <w:rPr>
          <w:rFonts w:hint="eastAsia"/>
          <w:lang w:eastAsia="zh-CN"/>
        </w:rPr>
        <w:t>也</w:t>
      </w:r>
      <w:r>
        <w:rPr>
          <w:rFonts w:hint="eastAsia"/>
        </w:rPr>
        <w:t>要小于上一档的步长</w:t>
      </w:r>
      <w:r>
        <w:rPr>
          <w:rFonts w:hint="eastAsia"/>
          <w:lang w:eastAsia="zh-CN"/>
        </w:rPr>
        <w:t>；竞价方式为一次性，则无可变步长选项。</w:t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/>
        </w:rPr>
        <w:t>点击“添加保存”按钮，完成竞价规则的设置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设定竞价规则页面</w:t>
      </w:r>
      <w:r>
        <w:rPr>
          <w:rFonts w:hint="eastAsia"/>
          <w:lang w:val="en-US" w:eastAsia="zh-CN"/>
        </w:rPr>
        <w:t>会</w:t>
      </w:r>
      <w:r>
        <w:rPr>
          <w:rFonts w:hint="eastAsia"/>
          <w:lang w:eastAsia="zh-CN"/>
        </w:rPr>
        <w:t>显示新增的</w:t>
      </w:r>
      <w:r>
        <w:rPr>
          <w:rFonts w:hint="eastAsia"/>
          <w:lang w:val="en-US" w:eastAsia="zh-CN"/>
        </w:rPr>
        <w:t>数据。如下图：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1075055"/>
            <wp:effectExtent l="0" t="0" r="10795" b="4445"/>
            <wp:docPr id="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64" w:name="_Toc20179"/>
      <w:r>
        <w:rPr>
          <w:rFonts w:hint="eastAsia"/>
          <w:lang w:val="en-US" w:eastAsia="zh-CN"/>
        </w:rPr>
        <w:t>竞价控制</w:t>
      </w:r>
      <w:bookmarkEnd w:id="64"/>
    </w:p>
    <w:p>
      <w:pPr>
        <w:tabs>
          <w:tab w:val="left" w:pos="1108"/>
        </w:tabs>
        <w:spacing w:line="600" w:lineRule="exact"/>
        <w:jc w:val="left"/>
        <w:rPr>
          <w:rFonts w:hint="eastAsia" w:ascii="宋体" w:hAnsi="宋体" w:eastAsia="宋体" w:cs="宋体"/>
          <w:color w:val="000000"/>
          <w:lang w:val="en-US" w:eastAsia="zh-CN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设置完竞价规则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hint="eastAsia" w:ascii="宋体" w:hAnsi="宋体" w:eastAsia="宋体"/>
          <w:bCs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  <w:lang w:val="en-US" w:eastAsia="zh-CN"/>
        </w:rPr>
        <w:t>竞价控制</w:t>
      </w:r>
      <w:r>
        <w:rPr>
          <w:rFonts w:hint="eastAsia" w:ascii="宋体" w:hAnsi="宋体"/>
          <w:bCs/>
          <w:lang w:eastAsia="zh-CN"/>
        </w:rPr>
        <w:t>。</w:t>
      </w:r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11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拍卖业务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竞价控制”菜单，进入竞价控制页面。如下图：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2、点击“操作”按钮，进入标的竞价控制页面。如下图：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960120"/>
            <wp:effectExtent l="0" t="0" r="10795" b="5080"/>
            <wp:docPr id="8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366770"/>
            <wp:effectExtent l="0" t="0" r="11430" b="11430"/>
            <wp:docPr id="8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  <w:r>
        <w:rPr>
          <w:rFonts w:hint="eastAsia"/>
        </w:rPr>
        <w:t>3、点击“暂停</w:t>
      </w:r>
      <w:r>
        <w:rPr>
          <w:rFonts w:hint="eastAsia"/>
          <w:lang w:eastAsia="zh-CN"/>
        </w:rPr>
        <w:t>竞价</w:t>
      </w:r>
      <w:r>
        <w:rPr>
          <w:rFonts w:hint="eastAsia"/>
        </w:rPr>
        <w:t>”按钮，可以将竞价项目暂停，竞价系统会显示暂停竞价</w:t>
      </w:r>
      <w:r>
        <w:rPr>
          <w:rFonts w:hint="eastAsia"/>
          <w:lang w:eastAsia="zh-CN"/>
        </w:rPr>
        <w:t>。如下图</w:t>
      </w:r>
      <w:r>
        <w:rPr>
          <w:rFonts w:hint="eastAsia"/>
        </w:rPr>
        <w:t>：</w:t>
      </w:r>
    </w:p>
    <w:p>
      <w:pPr>
        <w:pStyle w:val="2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3428365"/>
            <wp:effectExtent l="0" t="0" r="11430" b="635"/>
            <wp:docPr id="8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点击“</w:t>
      </w:r>
      <w:r>
        <w:rPr>
          <w:rFonts w:hint="eastAsia"/>
          <w:lang w:eastAsia="zh-CN"/>
        </w:rPr>
        <w:t>开始竞价</w:t>
      </w:r>
      <w:r>
        <w:rPr>
          <w:rFonts w:hint="eastAsia"/>
        </w:rPr>
        <w:t>”按钮</w:t>
      </w:r>
      <w:r>
        <w:rPr>
          <w:rFonts w:hint="eastAsia"/>
          <w:lang w:eastAsia="zh-CN"/>
        </w:rPr>
        <w:t>（暂停后，“暂停竞价”按钮会变为“开始竞价”按钮）</w:t>
      </w:r>
      <w:r>
        <w:rPr>
          <w:rFonts w:hint="eastAsia"/>
        </w:rPr>
        <w:t>，可以将暂停</w:t>
      </w:r>
      <w:r>
        <w:rPr>
          <w:rFonts w:hint="eastAsia"/>
          <w:lang w:eastAsia="zh-CN"/>
        </w:rPr>
        <w:t>的</w:t>
      </w:r>
      <w:r>
        <w:rPr>
          <w:rFonts w:hint="eastAsia"/>
        </w:rPr>
        <w:t>竞价项目</w:t>
      </w:r>
      <w:r>
        <w:rPr>
          <w:rFonts w:hint="eastAsia"/>
          <w:lang w:eastAsia="zh-CN"/>
        </w:rPr>
        <w:t>还原</w:t>
      </w:r>
      <w:r>
        <w:rPr>
          <w:rFonts w:hint="eastAsia"/>
        </w:rPr>
        <w:t>，</w:t>
      </w:r>
      <w:r>
        <w:rPr>
          <w:rFonts w:hint="eastAsia"/>
          <w:lang w:eastAsia="zh-CN"/>
        </w:rPr>
        <w:t>竞价系统中竞价暂停标志会消失，竞价时间继续倒计时。如下图</w:t>
      </w:r>
      <w:r>
        <w:rPr>
          <w:rFonts w:hint="eastAsia"/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5580" cy="3365500"/>
            <wp:effectExtent l="0" t="0" r="7620" b="0"/>
            <wp:docPr id="8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5、竞价控制页面，广播处填写要发送的信息，点击“提交”按钮，可以向竞价系统发送信息，竞价系统会显示发送的信息。如下图：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770" cy="3423285"/>
            <wp:effectExtent l="0" t="0" r="11430" b="5715"/>
            <wp:docPr id="8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  <w:rPr>
          <w:rFonts w:hint="eastAsia"/>
        </w:rPr>
      </w:pPr>
      <w:r>
        <w:rPr>
          <w:rFonts w:hint="eastAsia"/>
          <w:lang w:val="en-US" w:eastAsia="zh-CN"/>
        </w:rPr>
        <w:t>6、</w:t>
      </w:r>
      <w:r>
        <w:rPr>
          <w:rFonts w:hint="eastAsia"/>
          <w:lang w:eastAsia="zh-CN"/>
        </w:rPr>
        <w:t>竞价控制页面，点击“终止竞价”按钮，竞价直接结束，竞价系统会弹出提示，相当于流标。如下图：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401695"/>
            <wp:effectExtent l="0" t="0" r="10795" b="1905"/>
            <wp:docPr id="9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65" w:name="_Toc18073"/>
      <w:r>
        <w:rPr>
          <w:rFonts w:hint="eastAsia"/>
          <w:lang w:val="en-US" w:eastAsia="zh-CN"/>
        </w:rPr>
        <w:t>报价历史菜单</w:t>
      </w:r>
      <w:bookmarkEnd w:id="65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设置完竞价规则</w:t>
      </w:r>
      <w:r>
        <w:rPr>
          <w:rFonts w:hint="eastAsia"/>
          <w:lang w:eastAsia="zh-CN"/>
        </w:rPr>
        <w:t>。</w:t>
      </w:r>
    </w:p>
    <w:p>
      <w:pPr>
        <w:ind w:firstLine="422"/>
        <w:rPr>
          <w:rFonts w:hint="eastAsia" w:eastAsia="思源宋体 CN Light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查看报价历史记录</w:t>
      </w:r>
      <w:r>
        <w:rPr>
          <w:rFonts w:hint="eastAsia" w:ascii="宋体" w:hAnsi="宋体"/>
          <w:bCs/>
          <w:lang w:eastAsia="zh-CN"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12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点击“拍卖业务—报价历史菜单”菜单，进入报价历史菜单列表。如下图：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9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2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点击“历史查询”按钮，进入页面，可以查看报价历史。如下图：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1012190"/>
            <wp:effectExtent l="0" t="0" r="3810" b="3810"/>
            <wp:docPr id="9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66035"/>
            <wp:effectExtent l="0" t="0" r="635" b="12065"/>
            <wp:docPr id="9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66" w:name="_Toc27094"/>
      <w:bookmarkStart w:id="67" w:name="_Toc30470"/>
      <w:bookmarkStart w:id="68" w:name="_Toc476214131"/>
      <w:r>
        <w:rPr>
          <w:rFonts w:hint="eastAsia"/>
          <w:lang w:val="en-US" w:eastAsia="zh-CN"/>
        </w:rPr>
        <w:t>LED投影</w:t>
      </w:r>
      <w:bookmarkEnd w:id="66"/>
      <w:bookmarkEnd w:id="67"/>
      <w:bookmarkEnd w:id="68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  <w:lang w:eastAsia="zh-CN"/>
        </w:rPr>
        <w:t>设置完竞价规则</w:t>
      </w:r>
      <w:r>
        <w:rPr>
          <w:rFonts w:hint="eastAsia" w:ascii="宋体" w:hAnsi="宋体"/>
          <w:bCs/>
        </w:rPr>
        <w:t>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查看</w:t>
      </w:r>
      <w:r>
        <w:rPr>
          <w:rFonts w:hint="eastAsia"/>
          <w:bCs/>
        </w:rPr>
        <w:t>LED</w:t>
      </w:r>
      <w:r>
        <w:rPr>
          <w:rFonts w:hint="eastAsia" w:ascii="宋体" w:hAnsi="宋体"/>
          <w:bCs/>
        </w:rPr>
        <w:t>投影。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点击“</w:t>
      </w:r>
      <w:r>
        <w:rPr>
          <w:rFonts w:hint="eastAsia"/>
          <w:lang w:val="en-US" w:eastAsia="zh-CN"/>
        </w:rPr>
        <w:t>拍卖业务</w:t>
      </w:r>
      <w:r>
        <w:rPr>
          <w:rFonts w:hint="eastAsia"/>
          <w:lang w:eastAsia="zh-CN"/>
        </w:rPr>
        <w:t>—</w:t>
      </w:r>
      <w:r>
        <w:rPr>
          <w:rFonts w:hint="eastAsia"/>
          <w:lang w:val="en-US" w:eastAsia="zh-CN"/>
        </w:rPr>
        <w:t>LED投影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菜单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进入LED投影列表。如下图：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9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</w:rPr>
        <w:t>点击标的的“LED投影查看”按钮，弹出LED查看页面</w:t>
      </w:r>
      <w:r>
        <w:rPr>
          <w:rFonts w:hint="eastAsia"/>
          <w:lang w:eastAsia="zh-CN"/>
        </w:rPr>
        <w:t>。如下图</w:t>
      </w:r>
      <w:r>
        <w:rPr>
          <w:rFonts w:hint="eastAsia"/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9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bookmarkStart w:id="69" w:name="_Toc1545"/>
      <w:bookmarkStart w:id="70" w:name="_Toc3149"/>
      <w:bookmarkStart w:id="71" w:name="_Toc8716"/>
      <w:bookmarkStart w:id="72" w:name="_Toc29873"/>
      <w:r>
        <w:rPr>
          <w:rFonts w:hint="eastAsia"/>
          <w:lang w:val="en-US" w:eastAsia="zh-CN"/>
        </w:rPr>
        <w:t>同步竞价结果</w:t>
      </w:r>
      <w:bookmarkEnd w:id="69"/>
      <w:bookmarkEnd w:id="70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  <w:lang w:val="en-US" w:eastAsia="zh-CN"/>
        </w:rPr>
        <w:t>竞价结束。</w:t>
      </w:r>
    </w:p>
    <w:p>
      <w:pPr>
        <w:ind w:firstLine="422"/>
        <w:rPr>
          <w:rFonts w:ascii="宋体" w:hAnsi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查看竞价结果</w:t>
      </w:r>
      <w:r>
        <w:rPr>
          <w:rFonts w:hint="eastAsia" w:ascii="宋体" w:hAnsi="宋体"/>
          <w:bCs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13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点击“拍卖业务—同步竞价结果”菜单，进入同步竞价结果列表。如下图：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110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5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3"/>
        </w:numPr>
        <w:ind w:left="0" w:leftChars="0" w:firstLine="420" w:firstLineChars="20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>同步竞价结果列表页面，竞价已结束的</w:t>
      </w:r>
      <w:r>
        <w:rPr>
          <w:rFonts w:hint="eastAsia"/>
          <w:lang w:val="en-US" w:eastAsia="zh-CN"/>
        </w:rPr>
        <w:t>标的</w:t>
      </w:r>
      <w:r>
        <w:rPr>
          <w:rFonts w:hint="eastAsia"/>
          <w:lang w:eastAsia="zh-CN"/>
        </w:rPr>
        <w:t>会自动同步竞价结果。</w:t>
      </w:r>
      <w:r>
        <w:rPr>
          <w:rFonts w:hint="eastAsia"/>
        </w:rPr>
        <w:t>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1799590"/>
            <wp:effectExtent l="0" t="0" r="635" b="3810"/>
            <wp:docPr id="11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>注：成交的标的，会显示拟中标单位及中标价格，而流拍的标的，拟中标单位及中标价格显示为空。</w:t>
      </w:r>
    </w:p>
    <w:p>
      <w:pPr>
        <w:pStyle w:val="5"/>
        <w:tabs>
          <w:tab w:val="left" w:pos="567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成交公告备案</w:t>
      </w:r>
      <w:bookmarkEnd w:id="71"/>
      <w:bookmarkEnd w:id="72"/>
    </w:p>
    <w:p>
      <w:pPr>
        <w:ind w:firstLine="422"/>
        <w:rPr>
          <w:rFonts w:ascii="宋体" w:hAnsi="宋体"/>
          <w:b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/>
          <w:szCs w:val="24"/>
          <w:lang w:eastAsia="zh-CN"/>
        </w:rPr>
        <w:t>中标</w:t>
      </w:r>
      <w:r>
        <w:rPr>
          <w:rFonts w:hint="eastAsia"/>
          <w:szCs w:val="24"/>
          <w:lang w:val="en-US" w:eastAsia="zh-CN"/>
        </w:rPr>
        <w:t>公示备</w:t>
      </w:r>
      <w:r>
        <w:rPr>
          <w:rFonts w:hint="eastAsia"/>
          <w:szCs w:val="24"/>
          <w:lang w:eastAsia="zh-CN"/>
        </w:rPr>
        <w:t>案审核通过，且交易公告截止时间</w:t>
      </w:r>
      <w:r>
        <w:rPr>
          <w:rFonts w:hint="eastAsia"/>
          <w:szCs w:val="24"/>
          <w:lang w:val="en-US" w:eastAsia="zh-CN"/>
        </w:rPr>
        <w:t>已到</w:t>
      </w:r>
      <w:r>
        <w:rPr>
          <w:rFonts w:hint="eastAsia"/>
          <w:szCs w:val="24"/>
          <w:lang w:eastAsia="zh-CN"/>
        </w:rPr>
        <w:t>。</w:t>
      </w:r>
    </w:p>
    <w:p>
      <w:pPr>
        <w:ind w:firstLine="422"/>
        <w:rPr>
          <w:rFonts w:hint="eastAsia" w:ascii="宋体" w:hAnsi="宋体" w:eastAsia="宋体"/>
          <w:lang w:eastAsia="zh-CN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 w:val="0"/>
          <w:bCs/>
          <w:lang w:val="en-US" w:eastAsia="zh-CN"/>
        </w:rPr>
        <w:t>编制</w:t>
      </w:r>
      <w:r>
        <w:rPr>
          <w:rFonts w:hint="eastAsia"/>
        </w:rPr>
        <w:t>成交公告备案</w:t>
      </w:r>
      <w:r>
        <w:rPr>
          <w:rFonts w:hint="eastAsia"/>
          <w:lang w:eastAsia="zh-CN"/>
        </w:rPr>
        <w:t>。</w:t>
      </w:r>
    </w:p>
    <w:p>
      <w:pPr>
        <w:ind w:firstLine="422"/>
        <w:rPr>
          <w:b/>
          <w:bCs/>
        </w:rPr>
      </w:pPr>
      <w:r>
        <w:rPr>
          <w:rFonts w:ascii="宋体" w:hAnsi="宋体"/>
          <w:b/>
        </w:rPr>
        <w:t>操作步骤：</w:t>
      </w:r>
    </w:p>
    <w:p>
      <w:pPr>
        <w:pStyle w:val="2"/>
        <w:numPr>
          <w:ilvl w:val="0"/>
          <w:numId w:val="14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点击“拍卖业务—成交公告备案”，进入编制成交公告备案页面。如下图：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553970"/>
            <wp:effectExtent l="0" t="0" r="3810" b="11430"/>
            <wp:docPr id="9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4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点击“新增成交公告”按钮，进入“新增成交公告”页面，填写页面信息。如下图：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2480945"/>
            <wp:effectExtent l="0" t="0" r="12065" b="8255"/>
            <wp:docPr id="10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4"/>
        </w:numPr>
        <w:ind w:left="0" w:leftChars="0"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填写</w:t>
      </w:r>
      <w:r>
        <w:rPr>
          <w:rFonts w:hint="eastAsia"/>
          <w:lang w:val="en-US" w:eastAsia="zh-CN"/>
        </w:rPr>
        <w:t>公告明细</w:t>
      </w:r>
      <w:r>
        <w:rPr>
          <w:rFonts w:hint="eastAsia"/>
        </w:rPr>
        <w:t>，点击“修改保存”按钮</w:t>
      </w:r>
      <w:r>
        <w:rPr>
          <w:rFonts w:hint="eastAsia"/>
          <w:lang w:eastAsia="zh-CN"/>
        </w:rPr>
        <w:t>。如下图</w:t>
      </w:r>
      <w:r>
        <w:rPr>
          <w:rFonts w:hint="eastAsia"/>
          <w:lang w:val="en-US" w:eastAsia="zh-CN"/>
        </w:rPr>
        <w:t>：、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945" cy="2289175"/>
            <wp:effectExtent l="0" t="0" r="8255" b="9525"/>
            <wp:docPr id="10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108"/>
        </w:tabs>
        <w:spacing w:line="360" w:lineRule="auto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4、附件信息中点击</w:t>
      </w:r>
      <w:r>
        <w:rPr>
          <w:rFonts w:hint="eastAsia"/>
        </w:rPr>
        <w:t>“</w:t>
      </w: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>签章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</w:rPr>
        <w:t>，进入成交公告页面</w:t>
      </w:r>
      <w:r>
        <w:rPr>
          <w:rFonts w:hint="eastAsia"/>
          <w:lang w:eastAsia="zh-CN"/>
        </w:rPr>
        <w:t>。如下图</w:t>
      </w:r>
      <w:r>
        <w:rPr>
          <w:rFonts w:hint="eastAsia"/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7485" cy="497205"/>
            <wp:effectExtent l="0" t="0" r="5715" b="10795"/>
            <wp:docPr id="10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48335"/>
            <wp:effectExtent l="0" t="0" r="2540" b="12065"/>
            <wp:docPr id="10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eastAsia"/>
        </w:rPr>
        <w:t>点击“电子签章”</w:t>
      </w:r>
      <w:r>
        <w:rPr>
          <w:rFonts w:hint="eastAsia"/>
          <w:lang w:val="en-US" w:eastAsia="zh-CN"/>
        </w:rPr>
        <w:t>按钮签章，签章完成后</w:t>
      </w:r>
      <w:r>
        <w:rPr>
          <w:rFonts w:hint="eastAsia"/>
        </w:rPr>
        <w:t>点击“完成离开”</w:t>
      </w:r>
      <w:r>
        <w:rPr>
          <w:rFonts w:hint="eastAsia"/>
          <w:lang w:eastAsia="zh-CN"/>
        </w:rPr>
        <w:t>。如下图</w:t>
      </w:r>
      <w:r>
        <w:rPr>
          <w:rFonts w:hint="eastAsia"/>
          <w:lang w:val="en-US" w:eastAsia="zh-CN"/>
        </w:rPr>
        <w:t>：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74310" cy="913765"/>
            <wp:effectExtent l="0" t="0" r="8890" b="635"/>
            <wp:docPr id="10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6、点击“提交信息”按钮，弹出“请输入意见”框，输入意见后点击“确认提交”按钮，</w:t>
      </w:r>
      <w:r>
        <w:rPr>
          <w:rFonts w:hint="eastAsia"/>
        </w:rPr>
        <w:t>提交交易平台审核</w:t>
      </w:r>
      <w:r>
        <w:rPr>
          <w:rFonts w:hint="eastAsia"/>
          <w:lang w:val="en-US" w:eastAsia="zh-CN"/>
        </w:rPr>
        <w:t>。如下图：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6215" cy="2138045"/>
            <wp:effectExtent l="0" t="0" r="6985" b="8255"/>
            <wp:docPr id="10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5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7" w:type="first"/>
      <w:headerReference r:id="rId5" w:type="default"/>
      <w:footerReference r:id="rId6" w:type="default"/>
      <w:pgSz w:w="11906" w:h="16838"/>
      <w:pgMar w:top="1440" w:right="1797" w:bottom="1440" w:left="1797" w:header="567" w:footer="567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right"/>
    </w:pPr>
    <w:r>
      <w:rPr>
        <w:rFonts w:hint="eastAsia" w:ascii="思源宋体 CN Light" w:hAnsi="思源宋体 CN Light" w:eastAsia="思源宋体 CN Light" w:cs="思源宋体 CN Light"/>
        <w:i w:val="0"/>
        <w:iCs w:val="0"/>
        <w:color w:val="8C8C8C"/>
        <w:lang w:val="en-US" w:eastAsia="zh-CN"/>
      </w:rPr>
      <w:t>国泰新点软件股份有限公司 0512-58188000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</w:rPr>
      <w:t xml:space="preserve">                        </w:t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fldChar w:fldCharType="begin"/>
    </w:r>
    <w:r>
      <w:rPr>
        <w:rFonts w:hint="eastAsia" w:ascii="思源宋体 CN Light" w:hAnsi="思源宋体 CN Light" w:eastAsia="思源宋体 CN Light" w:cs="思源宋体 CN Light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</w:rPr>
      <w:fldChar w:fldCharType="separate"/>
    </w:r>
    <w:r>
      <w:rPr>
        <w:rFonts w:hint="eastAsia" w:ascii="思源宋体 CN Light" w:hAnsi="思源宋体 CN Light" w:eastAsia="思源宋体 CN Light" w:cs="思源宋体 CN Light"/>
      </w:rPr>
      <w:t>14</w:t>
    </w:r>
    <w:r>
      <w:rPr>
        <w:rFonts w:hint="eastAsia" w:ascii="思源宋体 CN Light" w:hAnsi="思源宋体 CN Light" w:eastAsia="思源宋体 CN Light" w:cs="思源宋体 CN Light"/>
      </w:rPr>
      <w:fldChar w:fldCharType="end"/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/</w:t>
    </w:r>
    <w:r>
      <w:rPr>
        <w:rFonts w:hint="eastAsia" w:cs="思源宋体 CN Light"/>
        <w:lang w:val="en-US" w:eastAsia="zh-CN"/>
      </w:rPr>
      <w:t>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right"/>
      <w:rPr>
        <w:rFonts w:hint="default" w:ascii="思源宋体 CN Light" w:hAnsi="思源宋体 CN Light" w:eastAsia="思源宋体 CN Light" w:cs="思源宋体 CN Light"/>
        <w:i/>
        <w:iCs/>
        <w:color w:val="8C8C8C"/>
        <w:lang w:val="en-US" w:eastAsia="zh-CN"/>
      </w:rPr>
    </w:pPr>
    <w:r>
      <w:rPr>
        <w:rFonts w:hint="eastAsia" w:cs="思源宋体 CN Light"/>
        <w:i w:val="0"/>
        <w:iCs w:val="0"/>
        <w:color w:val="8C8C8C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  <w:i w:val="0"/>
        <w:iCs w:val="0"/>
        <w:color w:val="8C8C8C"/>
        <w:lang w:val="en-US" w:eastAsia="zh-CN"/>
      </w:rPr>
      <w:t>国泰新点软件股份有限公司 0512-58188000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</w:rPr>
      <w:t xml:space="preserve">               </w:t>
    </w:r>
    <w:r>
      <w:rPr>
        <w:rFonts w:hint="eastAsia" w:cs="思源宋体 CN Light"/>
        <w:lang w:val="en-US" w:eastAsia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t xml:space="preserve">  </w:t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fldChar w:fldCharType="begin"/>
    </w:r>
    <w:r>
      <w:rPr>
        <w:rFonts w:hint="eastAsia" w:ascii="思源宋体 CN Light" w:hAnsi="思源宋体 CN Light" w:eastAsia="思源宋体 CN Light" w:cs="思源宋体 CN Light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</w:rPr>
      <w:fldChar w:fldCharType="separate"/>
    </w:r>
    <w:r>
      <w:rPr>
        <w:rFonts w:hint="eastAsia" w:ascii="思源宋体 CN Light" w:hAnsi="思源宋体 CN Light" w:eastAsia="思源宋体 CN Light" w:cs="思源宋体 CN Light"/>
      </w:rPr>
      <w:t>14</w:t>
    </w:r>
    <w:r>
      <w:rPr>
        <w:rFonts w:hint="eastAsia" w:ascii="思源宋体 CN Light" w:hAnsi="思源宋体 CN Light" w:eastAsia="思源宋体 CN Light" w:cs="思源宋体 CN Light"/>
      </w:rPr>
      <w:fldChar w:fldCharType="end"/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/</w:t>
    </w:r>
    <w:r>
      <w:rPr>
        <w:rFonts w:hint="eastAsia" w:cs="思源宋体 CN Light"/>
        <w:lang w:val="en-US" w:eastAsia="zh-CN"/>
      </w:rPr>
      <w:t>34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top w:val="single" w:color="9BBB59" w:sz="24" w:space="5"/>
      </w:pBdr>
      <w:jc w:val="right"/>
      <w:rPr>
        <w:rFonts w:hint="default" w:eastAsia="思源宋体 CN Light"/>
        <w:lang w:val="en-US" w:eastAsia="zh-CN"/>
      </w:rPr>
    </w:pPr>
    <w:r>
      <w:rPr>
        <w:rFonts w:hint="eastAsia" w:ascii="思源宋体 CN Light" w:hAnsi="思源宋体 CN Light" w:eastAsia="思源宋体 CN Light" w:cs="思源宋体 CN Light"/>
        <w:i w:val="0"/>
        <w:iCs w:val="0"/>
        <w:color w:val="8C8C8C"/>
        <w:lang w:val="en-US" w:eastAsia="zh-CN"/>
      </w:rPr>
      <w:t>国泰新点软件股份有限公司 0512-58188000</w:t>
    </w:r>
    <w:r>
      <w:rPr>
        <w:rFonts w:hint="eastAsia" w:ascii="思源宋体 CN Light" w:hAnsi="思源宋体 CN Light" w:eastAsia="思源宋体 CN Light" w:cs="思源宋体 CN Light"/>
        <w:lang w:val="en-US" w:eastAsia="zh-CN"/>
      </w:rPr>
      <w:t xml:space="preserve">   </w:t>
    </w:r>
    <w:r>
      <w:rPr>
        <w:rFonts w:hint="eastAsia" w:ascii="思源宋体 CN Light" w:hAnsi="思源宋体 CN Light" w:eastAsia="思源宋体 CN Light" w:cs="思源宋体 CN Light"/>
      </w:rPr>
      <w:t xml:space="preserve">                  </w:t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</w:t>
    </w:r>
    <w:r>
      <w:rPr>
        <w:rFonts w:hint="eastAsia" w:ascii="思源宋体 CN Light" w:hAnsi="思源宋体 CN Light" w:eastAsia="思源宋体 CN Light" w:cs="思源宋体 CN Light"/>
      </w:rPr>
      <w:fldChar w:fldCharType="begin"/>
    </w:r>
    <w:r>
      <w:rPr>
        <w:rFonts w:hint="eastAsia" w:ascii="思源宋体 CN Light" w:hAnsi="思源宋体 CN Light" w:eastAsia="思源宋体 CN Light" w:cs="思源宋体 CN Light"/>
      </w:rPr>
      <w:instrText xml:space="preserve"> PAGE </w:instrText>
    </w:r>
    <w:r>
      <w:rPr>
        <w:rFonts w:hint="eastAsia" w:ascii="思源宋体 CN Light" w:hAnsi="思源宋体 CN Light" w:eastAsia="思源宋体 CN Light" w:cs="思源宋体 CN Light"/>
      </w:rPr>
      <w:fldChar w:fldCharType="separate"/>
    </w:r>
    <w:r>
      <w:rPr>
        <w:rFonts w:hint="eastAsia" w:ascii="思源宋体 CN Light" w:hAnsi="思源宋体 CN Light" w:eastAsia="思源宋体 CN Light" w:cs="思源宋体 CN Light"/>
      </w:rPr>
      <w:t>14</w:t>
    </w:r>
    <w:r>
      <w:rPr>
        <w:rFonts w:hint="eastAsia" w:ascii="思源宋体 CN Light" w:hAnsi="思源宋体 CN Light" w:eastAsia="思源宋体 CN Light" w:cs="思源宋体 CN Light"/>
      </w:rPr>
      <w:fldChar w:fldCharType="end"/>
    </w:r>
    <w:r>
      <w:rPr>
        <w:rFonts w:hint="eastAsia" w:ascii="思源宋体 CN Light" w:hAnsi="思源宋体 CN Light" w:eastAsia="思源宋体 CN Light" w:cs="思源宋体 CN Light"/>
        <w:lang w:val="zh-CN"/>
      </w:rPr>
      <w:t xml:space="preserve"> /</w:t>
    </w:r>
    <w:r>
      <w:rPr>
        <w:rFonts w:hint="eastAsia" w:cs="思源宋体 CN Light"/>
        <w:lang w:val="en-US" w:eastAsia="zh-CN"/>
      </w:rPr>
      <w:t>34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思源宋体 CN Light" w:hAnsi="思源宋体 CN Light" w:eastAsia="思源宋体 CN Light"/>
        <w:lang w:val="en-US" w:eastAsia="zh-CN"/>
      </w:rPr>
    </w:pPr>
    <w:r>
      <w:rPr>
        <w:rFonts w:hint="eastAsia" w:ascii="宋体" w:hAnsi="宋体"/>
      </w:rPr>
      <w:drawing>
        <wp:inline distT="0" distB="0" distL="0" distR="0">
          <wp:extent cx="602615" cy="204470"/>
          <wp:effectExtent l="0" t="0" r="6985" b="11430"/>
          <wp:docPr id="112" name="图片 11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图片 112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261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</w:rPr>
      <w:t>白山市公共资源交易电子化平台产权交易招标代理操作手册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keepNext w:val="0"/>
      <w:keepLines w:val="0"/>
      <w:pageBreakBefore w:val="0"/>
      <w:widowControl w:val="0"/>
      <w:pBdr>
        <w:bottom w:val="thickThinSmallGap" w:color="622423" w:sz="24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auto"/>
      <w:rPr>
        <w:rFonts w:ascii="Cambria" w:hAnsi="Cambria"/>
      </w:rPr>
    </w:pPr>
    <w:r>
      <w:rPr>
        <w:rFonts w:hint="eastAsia" w:ascii="宋体" w:hAnsi="宋体"/>
      </w:rPr>
      <w:drawing>
        <wp:inline distT="0" distB="0" distL="0" distR="0">
          <wp:extent cx="602615" cy="204470"/>
          <wp:effectExtent l="0" t="0" r="6985" b="8890"/>
          <wp:docPr id="4" name="图片 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2615" cy="2044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思源宋体 CN Light" w:hAnsi="思源宋体 CN Light" w:eastAsia="思源宋体 CN Light" w:cs="思源宋体 CN Light"/>
      </w:rPr>
      <w:t>白山市公共资源交易电子化平台产权交易招标代理操作手册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527E7F"/>
    <w:multiLevelType w:val="singleLevel"/>
    <w:tmpl w:val="89527E7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8045CF2"/>
    <w:multiLevelType w:val="singleLevel"/>
    <w:tmpl w:val="98045CF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9ABDC809"/>
    <w:multiLevelType w:val="singleLevel"/>
    <w:tmpl w:val="9ABDC80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ADFF737D"/>
    <w:multiLevelType w:val="multilevel"/>
    <w:tmpl w:val="ADFF737D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2"/>
        <w:szCs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30"/>
        <w:szCs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8"/>
        <w:szCs w:val="28"/>
        <w:u w:val="none"/>
        <w:vertAlign w:val="baseline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0" w:leftChars="0" w:firstLine="0" w:firstLineChars="0"/>
      </w:pPr>
      <w:rPr>
        <w:rFonts w:hint="eastAsia" w:ascii="思源宋体 CN Light" w:hAnsi="思源宋体 CN Light" w:eastAsia="思源宋体 CN Light" w:cs="思源宋体 CN Light"/>
        <w:b/>
        <w:bCs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4">
    <w:nsid w:val="B7BF0CE3"/>
    <w:multiLevelType w:val="singleLevel"/>
    <w:tmpl w:val="B7BF0CE3"/>
    <w:lvl w:ilvl="0" w:tentative="0">
      <w:start w:val="7"/>
      <w:numFmt w:val="decimal"/>
      <w:suff w:val="nothing"/>
      <w:lvlText w:val="%1、"/>
      <w:lvlJc w:val="left"/>
    </w:lvl>
  </w:abstractNum>
  <w:abstractNum w:abstractNumId="5">
    <w:nsid w:val="BC71786B"/>
    <w:multiLevelType w:val="singleLevel"/>
    <w:tmpl w:val="BC71786B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E10568D0"/>
    <w:multiLevelType w:val="singleLevel"/>
    <w:tmpl w:val="E10568D0"/>
    <w:lvl w:ilvl="0" w:tentative="0">
      <w:start w:val="18"/>
      <w:numFmt w:val="decimal"/>
      <w:suff w:val="nothing"/>
      <w:lvlText w:val="%1、"/>
      <w:lvlJc w:val="left"/>
    </w:lvl>
  </w:abstractNum>
  <w:abstractNum w:abstractNumId="7">
    <w:nsid w:val="EA2C5DF1"/>
    <w:multiLevelType w:val="singleLevel"/>
    <w:tmpl w:val="EA2C5DF1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EDDC6608"/>
    <w:multiLevelType w:val="singleLevel"/>
    <w:tmpl w:val="EDDC6608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EE2CC84B"/>
    <w:multiLevelType w:val="singleLevel"/>
    <w:tmpl w:val="EE2CC84B"/>
    <w:lvl w:ilvl="0" w:tentative="0">
      <w:start w:val="1"/>
      <w:numFmt w:val="decimal"/>
      <w:suff w:val="nothing"/>
      <w:lvlText w:val="%1、"/>
      <w:lvlJc w:val="left"/>
    </w:lvl>
  </w:abstractNum>
  <w:abstractNum w:abstractNumId="10">
    <w:nsid w:val="18AF6008"/>
    <w:multiLevelType w:val="singleLevel"/>
    <w:tmpl w:val="18AF6008"/>
    <w:lvl w:ilvl="0" w:tentative="0">
      <w:start w:val="10"/>
      <w:numFmt w:val="decimal"/>
      <w:suff w:val="nothing"/>
      <w:lvlText w:val="%1、"/>
      <w:lvlJc w:val="left"/>
    </w:lvl>
  </w:abstractNum>
  <w:abstractNum w:abstractNumId="11">
    <w:nsid w:val="23B600CC"/>
    <w:multiLevelType w:val="singleLevel"/>
    <w:tmpl w:val="23B600CC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5FDD651D"/>
    <w:multiLevelType w:val="singleLevel"/>
    <w:tmpl w:val="5FDD651D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786695B8"/>
    <w:multiLevelType w:val="singleLevel"/>
    <w:tmpl w:val="786695B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5"/>
  </w:num>
  <w:num w:numId="3">
    <w:abstractNumId w:val="11"/>
  </w:num>
  <w:num w:numId="4">
    <w:abstractNumId w:val="4"/>
  </w:num>
  <w:num w:numId="5">
    <w:abstractNumId w:val="10"/>
  </w:num>
  <w:num w:numId="6">
    <w:abstractNumId w:val="6"/>
  </w:num>
  <w:num w:numId="7">
    <w:abstractNumId w:val="13"/>
  </w:num>
  <w:num w:numId="8">
    <w:abstractNumId w:val="1"/>
  </w:num>
  <w:num w:numId="9">
    <w:abstractNumId w:val="12"/>
  </w:num>
  <w:num w:numId="10">
    <w:abstractNumId w:val="9"/>
  </w:num>
  <w:num w:numId="11">
    <w:abstractNumId w:val="0"/>
  </w:num>
  <w:num w:numId="12">
    <w:abstractNumId w:val="7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75"/>
    <w:rsid w:val="00024A8A"/>
    <w:rsid w:val="00042FFD"/>
    <w:rsid w:val="0007329A"/>
    <w:rsid w:val="00073869"/>
    <w:rsid w:val="00075997"/>
    <w:rsid w:val="000B2AF4"/>
    <w:rsid w:val="000D482A"/>
    <w:rsid w:val="00122001"/>
    <w:rsid w:val="00150D78"/>
    <w:rsid w:val="00176348"/>
    <w:rsid w:val="001D2044"/>
    <w:rsid w:val="001E6920"/>
    <w:rsid w:val="00205104"/>
    <w:rsid w:val="002B699D"/>
    <w:rsid w:val="002C3E80"/>
    <w:rsid w:val="002F11DF"/>
    <w:rsid w:val="002F3233"/>
    <w:rsid w:val="00333335"/>
    <w:rsid w:val="0035058A"/>
    <w:rsid w:val="00421795"/>
    <w:rsid w:val="00447906"/>
    <w:rsid w:val="00470FFA"/>
    <w:rsid w:val="00486C5F"/>
    <w:rsid w:val="004B1591"/>
    <w:rsid w:val="004B6169"/>
    <w:rsid w:val="004C0E42"/>
    <w:rsid w:val="004D32F9"/>
    <w:rsid w:val="004D659C"/>
    <w:rsid w:val="004E03D6"/>
    <w:rsid w:val="005B6168"/>
    <w:rsid w:val="005D7BC4"/>
    <w:rsid w:val="005F0D46"/>
    <w:rsid w:val="00635F86"/>
    <w:rsid w:val="006529BD"/>
    <w:rsid w:val="00660338"/>
    <w:rsid w:val="006A73C7"/>
    <w:rsid w:val="006C1AAF"/>
    <w:rsid w:val="006E22E5"/>
    <w:rsid w:val="0079347E"/>
    <w:rsid w:val="007E57B4"/>
    <w:rsid w:val="00832FAF"/>
    <w:rsid w:val="00842628"/>
    <w:rsid w:val="00877496"/>
    <w:rsid w:val="00891866"/>
    <w:rsid w:val="008976B8"/>
    <w:rsid w:val="008D23CE"/>
    <w:rsid w:val="00906E3B"/>
    <w:rsid w:val="00A35350"/>
    <w:rsid w:val="00AC5B19"/>
    <w:rsid w:val="00AC72E0"/>
    <w:rsid w:val="00AD0E31"/>
    <w:rsid w:val="00AD1BE5"/>
    <w:rsid w:val="00AF64A0"/>
    <w:rsid w:val="00B26093"/>
    <w:rsid w:val="00B72F30"/>
    <w:rsid w:val="00B92672"/>
    <w:rsid w:val="00BE2D87"/>
    <w:rsid w:val="00C016D6"/>
    <w:rsid w:val="00C033B4"/>
    <w:rsid w:val="00C166C7"/>
    <w:rsid w:val="00C770E2"/>
    <w:rsid w:val="00C91875"/>
    <w:rsid w:val="00CA5673"/>
    <w:rsid w:val="00D07677"/>
    <w:rsid w:val="00D55C7C"/>
    <w:rsid w:val="00D67F89"/>
    <w:rsid w:val="00E150DA"/>
    <w:rsid w:val="00E974FA"/>
    <w:rsid w:val="00EA2AF1"/>
    <w:rsid w:val="00F05895"/>
    <w:rsid w:val="00F20347"/>
    <w:rsid w:val="00F73D0A"/>
    <w:rsid w:val="00F90F2C"/>
    <w:rsid w:val="00FB4687"/>
    <w:rsid w:val="00FB650C"/>
    <w:rsid w:val="00FD26FA"/>
    <w:rsid w:val="01550D06"/>
    <w:rsid w:val="015708F5"/>
    <w:rsid w:val="035E0F0C"/>
    <w:rsid w:val="048E70DB"/>
    <w:rsid w:val="04980570"/>
    <w:rsid w:val="049E76B4"/>
    <w:rsid w:val="04CA0F6A"/>
    <w:rsid w:val="05143883"/>
    <w:rsid w:val="051830BF"/>
    <w:rsid w:val="05A725D3"/>
    <w:rsid w:val="06276888"/>
    <w:rsid w:val="066C5298"/>
    <w:rsid w:val="070D6765"/>
    <w:rsid w:val="07A719BF"/>
    <w:rsid w:val="07CA4836"/>
    <w:rsid w:val="07E057BA"/>
    <w:rsid w:val="087843C7"/>
    <w:rsid w:val="088129C3"/>
    <w:rsid w:val="08E71F3E"/>
    <w:rsid w:val="092165A2"/>
    <w:rsid w:val="094C0C3F"/>
    <w:rsid w:val="09FE78E1"/>
    <w:rsid w:val="0A49692D"/>
    <w:rsid w:val="0B430567"/>
    <w:rsid w:val="0B88763C"/>
    <w:rsid w:val="0C677859"/>
    <w:rsid w:val="0CC84161"/>
    <w:rsid w:val="0CD21632"/>
    <w:rsid w:val="0CD71A8B"/>
    <w:rsid w:val="0DAB3B2F"/>
    <w:rsid w:val="0E566375"/>
    <w:rsid w:val="0ECC29C8"/>
    <w:rsid w:val="0EF12A36"/>
    <w:rsid w:val="0F506B3B"/>
    <w:rsid w:val="0FD302C3"/>
    <w:rsid w:val="115F035B"/>
    <w:rsid w:val="11721C4A"/>
    <w:rsid w:val="11964E28"/>
    <w:rsid w:val="120412CD"/>
    <w:rsid w:val="120E731F"/>
    <w:rsid w:val="12474357"/>
    <w:rsid w:val="129F338E"/>
    <w:rsid w:val="138400C5"/>
    <w:rsid w:val="153E4555"/>
    <w:rsid w:val="15BA43C3"/>
    <w:rsid w:val="1613499F"/>
    <w:rsid w:val="16AD52AC"/>
    <w:rsid w:val="16D17F82"/>
    <w:rsid w:val="16FF1D49"/>
    <w:rsid w:val="181B7459"/>
    <w:rsid w:val="188F4E3B"/>
    <w:rsid w:val="19032CC0"/>
    <w:rsid w:val="19B5391B"/>
    <w:rsid w:val="1A004A18"/>
    <w:rsid w:val="1A033C15"/>
    <w:rsid w:val="1A984F2C"/>
    <w:rsid w:val="1AFB3407"/>
    <w:rsid w:val="1C933DB2"/>
    <w:rsid w:val="1D1D15D6"/>
    <w:rsid w:val="1D247ECC"/>
    <w:rsid w:val="1DA50958"/>
    <w:rsid w:val="1E5B0BFE"/>
    <w:rsid w:val="1E6456C3"/>
    <w:rsid w:val="1EC4776F"/>
    <w:rsid w:val="1F533D4E"/>
    <w:rsid w:val="20B3570E"/>
    <w:rsid w:val="20F835E8"/>
    <w:rsid w:val="2243655F"/>
    <w:rsid w:val="229F22DA"/>
    <w:rsid w:val="23222E71"/>
    <w:rsid w:val="256C6065"/>
    <w:rsid w:val="264727AA"/>
    <w:rsid w:val="26876481"/>
    <w:rsid w:val="269A7E0F"/>
    <w:rsid w:val="26BE5153"/>
    <w:rsid w:val="26E3372B"/>
    <w:rsid w:val="274A27BF"/>
    <w:rsid w:val="278C5A7B"/>
    <w:rsid w:val="27D32DB9"/>
    <w:rsid w:val="286F7266"/>
    <w:rsid w:val="28A177A1"/>
    <w:rsid w:val="28D639ED"/>
    <w:rsid w:val="293D1DB8"/>
    <w:rsid w:val="29A759C2"/>
    <w:rsid w:val="29FE0BDE"/>
    <w:rsid w:val="2A587AF1"/>
    <w:rsid w:val="2A8F397B"/>
    <w:rsid w:val="2AB63CD9"/>
    <w:rsid w:val="2ACD1F7E"/>
    <w:rsid w:val="2B2320FD"/>
    <w:rsid w:val="2B7B493F"/>
    <w:rsid w:val="2B870E59"/>
    <w:rsid w:val="2BFB35B4"/>
    <w:rsid w:val="2C135D52"/>
    <w:rsid w:val="2D3F0A0E"/>
    <w:rsid w:val="2F46096F"/>
    <w:rsid w:val="30297611"/>
    <w:rsid w:val="306841D8"/>
    <w:rsid w:val="307713D1"/>
    <w:rsid w:val="30D46763"/>
    <w:rsid w:val="31C326F6"/>
    <w:rsid w:val="320950C1"/>
    <w:rsid w:val="32634AA7"/>
    <w:rsid w:val="332B3AFB"/>
    <w:rsid w:val="333A6509"/>
    <w:rsid w:val="349F2466"/>
    <w:rsid w:val="35257BD4"/>
    <w:rsid w:val="3540771C"/>
    <w:rsid w:val="36145E68"/>
    <w:rsid w:val="36202C73"/>
    <w:rsid w:val="36514BF4"/>
    <w:rsid w:val="36DD0556"/>
    <w:rsid w:val="377135EC"/>
    <w:rsid w:val="38F764FB"/>
    <w:rsid w:val="394F6884"/>
    <w:rsid w:val="39FF5598"/>
    <w:rsid w:val="3A300579"/>
    <w:rsid w:val="3B35051A"/>
    <w:rsid w:val="3CEF0A6B"/>
    <w:rsid w:val="3D0C10DF"/>
    <w:rsid w:val="3D5E6B26"/>
    <w:rsid w:val="3E080C04"/>
    <w:rsid w:val="3E180D74"/>
    <w:rsid w:val="3E6D5AE9"/>
    <w:rsid w:val="3EA070C4"/>
    <w:rsid w:val="3F27045B"/>
    <w:rsid w:val="3F451667"/>
    <w:rsid w:val="3FBB64B4"/>
    <w:rsid w:val="403A7594"/>
    <w:rsid w:val="40E44455"/>
    <w:rsid w:val="40EE2339"/>
    <w:rsid w:val="413453AB"/>
    <w:rsid w:val="41B02BB5"/>
    <w:rsid w:val="423B2A9E"/>
    <w:rsid w:val="45F65D25"/>
    <w:rsid w:val="4615110E"/>
    <w:rsid w:val="47466649"/>
    <w:rsid w:val="47DE3683"/>
    <w:rsid w:val="48024101"/>
    <w:rsid w:val="48BC0D24"/>
    <w:rsid w:val="490036F6"/>
    <w:rsid w:val="49C1735C"/>
    <w:rsid w:val="49C71B64"/>
    <w:rsid w:val="4B4D1927"/>
    <w:rsid w:val="4B582BD1"/>
    <w:rsid w:val="4B9048E3"/>
    <w:rsid w:val="4BF86962"/>
    <w:rsid w:val="4D4717F7"/>
    <w:rsid w:val="4E0759BE"/>
    <w:rsid w:val="4E1E558C"/>
    <w:rsid w:val="4E637CC2"/>
    <w:rsid w:val="4FA7613A"/>
    <w:rsid w:val="50194EBC"/>
    <w:rsid w:val="5021412A"/>
    <w:rsid w:val="50B24907"/>
    <w:rsid w:val="519220D9"/>
    <w:rsid w:val="534078BE"/>
    <w:rsid w:val="536F48A5"/>
    <w:rsid w:val="53F6452E"/>
    <w:rsid w:val="55301A8E"/>
    <w:rsid w:val="557C0F39"/>
    <w:rsid w:val="56AC44E1"/>
    <w:rsid w:val="58AA307F"/>
    <w:rsid w:val="58EF7DF7"/>
    <w:rsid w:val="59CB1C6A"/>
    <w:rsid w:val="5A6501EC"/>
    <w:rsid w:val="5A737958"/>
    <w:rsid w:val="5B720B79"/>
    <w:rsid w:val="5BAF3E83"/>
    <w:rsid w:val="5BC346E7"/>
    <w:rsid w:val="5C19469E"/>
    <w:rsid w:val="5C4066E0"/>
    <w:rsid w:val="5C7B786D"/>
    <w:rsid w:val="5E1D3508"/>
    <w:rsid w:val="5E281356"/>
    <w:rsid w:val="5E362B0A"/>
    <w:rsid w:val="5EAC61DD"/>
    <w:rsid w:val="5EC61B9E"/>
    <w:rsid w:val="5EE343CF"/>
    <w:rsid w:val="5F2B786C"/>
    <w:rsid w:val="5F9C0686"/>
    <w:rsid w:val="5FE63117"/>
    <w:rsid w:val="6194434B"/>
    <w:rsid w:val="62417B8B"/>
    <w:rsid w:val="631E281F"/>
    <w:rsid w:val="636115ED"/>
    <w:rsid w:val="63FB78D3"/>
    <w:rsid w:val="64737417"/>
    <w:rsid w:val="64975090"/>
    <w:rsid w:val="655A6E0E"/>
    <w:rsid w:val="673871C6"/>
    <w:rsid w:val="676073FF"/>
    <w:rsid w:val="68624AD0"/>
    <w:rsid w:val="6A193CA1"/>
    <w:rsid w:val="6A85712C"/>
    <w:rsid w:val="6AE1325E"/>
    <w:rsid w:val="6B790B93"/>
    <w:rsid w:val="6BA040B2"/>
    <w:rsid w:val="6BBA3D8C"/>
    <w:rsid w:val="6CE52822"/>
    <w:rsid w:val="6CFB3DED"/>
    <w:rsid w:val="6D6F6E5B"/>
    <w:rsid w:val="6D9B6BC6"/>
    <w:rsid w:val="6DB030D9"/>
    <w:rsid w:val="6DB50B91"/>
    <w:rsid w:val="6E1A12A4"/>
    <w:rsid w:val="6E874B88"/>
    <w:rsid w:val="6EA93AFD"/>
    <w:rsid w:val="6F74298A"/>
    <w:rsid w:val="6F8A36D8"/>
    <w:rsid w:val="70482CF3"/>
    <w:rsid w:val="70A822D2"/>
    <w:rsid w:val="71CC01AA"/>
    <w:rsid w:val="721C18A5"/>
    <w:rsid w:val="72C442FC"/>
    <w:rsid w:val="73130FC2"/>
    <w:rsid w:val="734D2EF2"/>
    <w:rsid w:val="73773BD3"/>
    <w:rsid w:val="737D3FDA"/>
    <w:rsid w:val="742F6BBE"/>
    <w:rsid w:val="74593DCE"/>
    <w:rsid w:val="74E63759"/>
    <w:rsid w:val="74F762AE"/>
    <w:rsid w:val="75164EB8"/>
    <w:rsid w:val="75423E67"/>
    <w:rsid w:val="7555237F"/>
    <w:rsid w:val="756831D8"/>
    <w:rsid w:val="7576000F"/>
    <w:rsid w:val="762658B9"/>
    <w:rsid w:val="7651666D"/>
    <w:rsid w:val="76B00946"/>
    <w:rsid w:val="76E62751"/>
    <w:rsid w:val="7725305F"/>
    <w:rsid w:val="776B02A3"/>
    <w:rsid w:val="779E58A5"/>
    <w:rsid w:val="791F60EB"/>
    <w:rsid w:val="7945555C"/>
    <w:rsid w:val="79F37958"/>
    <w:rsid w:val="7A0A138D"/>
    <w:rsid w:val="7B7707A5"/>
    <w:rsid w:val="7B7A5EFA"/>
    <w:rsid w:val="7C7D7799"/>
    <w:rsid w:val="7CFC6927"/>
    <w:rsid w:val="7D3E260E"/>
    <w:rsid w:val="7E597C97"/>
    <w:rsid w:val="7F007E45"/>
    <w:rsid w:val="7F061ED7"/>
    <w:rsid w:val="7F14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1166" w:firstLineChars="200"/>
      <w:jc w:val="both"/>
    </w:pPr>
    <w:rPr>
      <w:rFonts w:ascii="思源宋体 CN Light" w:hAnsi="思源宋体 CN Light" w:eastAsia="思源宋体 CN Light" w:cs="思源宋体 CN Light"/>
      <w:kern w:val="2"/>
      <w:sz w:val="21"/>
      <w:szCs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ind w:left="0" w:firstLine="0"/>
      <w:jc w:val="left"/>
      <w:outlineLvl w:val="0"/>
    </w:pPr>
    <w:rPr>
      <w:rFonts w:ascii="思源宋体 CN Light" w:hAnsi="思源宋体 CN Light" w:eastAsia="思源宋体 CN Light" w:cs="思源宋体 CN Light"/>
      <w:b/>
      <w:bCs/>
      <w:kern w:val="44"/>
      <w:sz w:val="32"/>
      <w:szCs w:val="32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ind w:left="0" w:firstLine="0"/>
      <w:outlineLvl w:val="1"/>
    </w:pPr>
    <w:rPr>
      <w:rFonts w:ascii="思源宋体 CN Light" w:hAnsi="思源宋体 CN Light" w:eastAsia="思源宋体 CN Light" w:cs="思源宋体 CN Light"/>
      <w:b/>
      <w:bCs/>
      <w:sz w:val="30"/>
      <w:szCs w:val="30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ind w:left="0" w:firstLine="0"/>
      <w:outlineLvl w:val="2"/>
    </w:pPr>
    <w:rPr>
      <w:rFonts w:ascii="思源宋体 CN Light" w:hAnsi="思源宋体 CN Light" w:eastAsia="思源宋体 CN Light" w:cs="思源宋体 CN Light"/>
      <w:b/>
      <w:bCs/>
      <w:sz w:val="28"/>
      <w:szCs w:val="28"/>
    </w:rPr>
  </w:style>
  <w:style w:type="paragraph" w:styleId="6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ind w:left="0" w:firstLine="0"/>
      <w:outlineLvl w:val="3"/>
    </w:pPr>
    <w:rPr>
      <w:rFonts w:ascii="思源宋体 CN Light" w:hAnsi="思源宋体 CN Light" w:eastAsia="思源宋体 CN Light" w:cs="思源宋体 CN Light"/>
      <w:b/>
      <w:bCs/>
      <w:sz w:val="24"/>
      <w:szCs w:val="24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思源宋体 CN Light" w:hAnsi="思源宋体 CN Light" w:cs="思源宋体 CN Light"/>
      <w:color w:val="000000"/>
      <w:szCs w:val="21"/>
    </w:rPr>
  </w:style>
  <w:style w:type="paragraph" w:styleId="8">
    <w:name w:val="Body Text Indent"/>
    <w:basedOn w:val="1"/>
    <w:qFormat/>
    <w:uiPriority w:val="0"/>
    <w:pPr>
      <w:spacing w:after="120"/>
      <w:ind w:left="420" w:leftChars="200"/>
    </w:pPr>
  </w:style>
  <w:style w:type="paragraph" w:styleId="9">
    <w:name w:val="toc 5"/>
    <w:basedOn w:val="1"/>
    <w:next w:val="1"/>
    <w:unhideWhenUsed/>
    <w:qFormat/>
    <w:uiPriority w:val="39"/>
    <w:pPr>
      <w:ind w:left="2041"/>
      <w:jc w:val="left"/>
    </w:pPr>
    <w:rPr>
      <w:rFonts w:cstheme="minorHAnsi"/>
      <w:szCs w:val="18"/>
    </w:rPr>
  </w:style>
  <w:style w:type="paragraph" w:styleId="10">
    <w:name w:val="toc 3"/>
    <w:basedOn w:val="1"/>
    <w:next w:val="1"/>
    <w:unhideWhenUsed/>
    <w:qFormat/>
    <w:uiPriority w:val="39"/>
    <w:pPr>
      <w:ind w:left="840" w:leftChars="400" w:firstLine="0" w:firstLineChars="0"/>
      <w:jc w:val="left"/>
    </w:pPr>
  </w:style>
  <w:style w:type="paragraph" w:styleId="11">
    <w:name w:val="Balloon Text"/>
    <w:basedOn w:val="1"/>
    <w:link w:val="23"/>
    <w:qFormat/>
    <w:uiPriority w:val="0"/>
    <w:rPr>
      <w:sz w:val="18"/>
      <w:szCs w:val="18"/>
    </w:rPr>
  </w:style>
  <w:style w:type="paragraph" w:styleId="1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ind w:firstLine="0" w:firstLineChars="0"/>
      <w:jc w:val="left"/>
    </w:pPr>
    <w:rPr>
      <w:sz w:val="18"/>
      <w:szCs w:val="18"/>
    </w:rPr>
  </w:style>
  <w:style w:type="paragraph" w:styleId="1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ind w:left="0" w:firstLine="0" w:firstLineChars="0"/>
      <w:jc w:val="left"/>
    </w:pPr>
    <w:rPr>
      <w:rFonts w:ascii="思源宋体 CN Light" w:hAnsi="思源宋体 CN Light" w:eastAsia="思源宋体 CN Light" w:cs="思源宋体 CN Light"/>
      <w:caps/>
      <w:szCs w:val="21"/>
    </w:rPr>
  </w:style>
  <w:style w:type="paragraph" w:styleId="15">
    <w:name w:val="toc 4"/>
    <w:basedOn w:val="1"/>
    <w:next w:val="1"/>
    <w:unhideWhenUsed/>
    <w:qFormat/>
    <w:uiPriority w:val="39"/>
    <w:pPr>
      <w:tabs>
        <w:tab w:val="right" w:leader="dot" w:pos="8302"/>
      </w:tabs>
      <w:ind w:left="1260" w:leftChars="600" w:firstLine="0" w:firstLineChars="0"/>
      <w:jc w:val="left"/>
    </w:pPr>
  </w:style>
  <w:style w:type="paragraph" w:styleId="16">
    <w:name w:val="toc 2"/>
    <w:basedOn w:val="1"/>
    <w:next w:val="1"/>
    <w:unhideWhenUsed/>
    <w:qFormat/>
    <w:uiPriority w:val="39"/>
    <w:pPr>
      <w:adjustRightInd w:val="0"/>
      <w:ind w:left="420" w:leftChars="200" w:firstLine="0" w:firstLineChars="0"/>
      <w:jc w:val="left"/>
    </w:pPr>
    <w:rPr>
      <w:smallCaps/>
    </w:rPr>
  </w:style>
  <w:style w:type="paragraph" w:styleId="1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0">
    <w:name w:val="Hyperlink"/>
    <w:basedOn w:val="19"/>
    <w:unhideWhenUsed/>
    <w:qFormat/>
    <w:uiPriority w:val="99"/>
    <w:rPr>
      <w:color w:val="0000FF"/>
      <w:u w:val="single"/>
    </w:rPr>
  </w:style>
  <w:style w:type="paragraph" w:customStyle="1" w:styleId="21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2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3">
    <w:name w:val="批注框文本 Char"/>
    <w:basedOn w:val="19"/>
    <w:link w:val="11"/>
    <w:qFormat/>
    <w:uiPriority w:val="0"/>
    <w:rPr>
      <w:kern w:val="2"/>
      <w:sz w:val="18"/>
      <w:szCs w:val="18"/>
    </w:rPr>
  </w:style>
  <w:style w:type="paragraph" w:customStyle="1" w:styleId="24">
    <w:name w:val="样式1"/>
    <w:basedOn w:val="1"/>
    <w:qFormat/>
    <w:uiPriority w:val="0"/>
    <w:pPr>
      <w:wordWrap w:val="0"/>
      <w:spacing w:line="300" w:lineRule="auto"/>
      <w:ind w:firstLine="480" w:firstLineChars="200"/>
      <w:jc w:val="left"/>
    </w:pPr>
    <w:rPr>
      <w:rFonts w:ascii="Times New Roman" w:hAnsi="Times New Roman"/>
      <w:sz w:val="24"/>
      <w:szCs w:val="21"/>
    </w:rPr>
  </w:style>
  <w:style w:type="paragraph" w:customStyle="1" w:styleId="25">
    <w:name w:val="图表"/>
    <w:basedOn w:val="1"/>
    <w:qFormat/>
    <w:uiPriority w:val="0"/>
    <w:pPr>
      <w:wordWrap w:val="0"/>
      <w:spacing w:line="360" w:lineRule="auto"/>
      <w:jc w:val="center"/>
    </w:pPr>
    <w:rPr>
      <w:rFonts w:ascii="Times New Roman" w:hAnsi="Times New Roman"/>
      <w:szCs w:val="21"/>
    </w:rPr>
  </w:style>
  <w:style w:type="paragraph" w:styleId="26">
    <w:name w:val="List Paragraph"/>
    <w:basedOn w:val="1"/>
    <w:qFormat/>
    <w:uiPriority w:val="34"/>
  </w:style>
  <w:style w:type="paragraph" w:customStyle="1" w:styleId="27">
    <w:name w:val="1"/>
    <w:basedOn w:val="1"/>
    <w:qFormat/>
    <w:uiPriority w:val="0"/>
    <w:pPr>
      <w:ind w:firstLine="0" w:firstLineChars="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image" Target="media/image1.png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3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2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footer" Target="footer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3" Type="http://schemas.openxmlformats.org/officeDocument/2006/relationships/fontTable" Target="fontTable.xml"/><Relationship Id="rId112" Type="http://schemas.openxmlformats.org/officeDocument/2006/relationships/customXml" Target="../customXml/item2.xml"/><Relationship Id="rId111" Type="http://schemas.openxmlformats.org/officeDocument/2006/relationships/numbering" Target="numbering.xml"/><Relationship Id="rId110" Type="http://schemas.openxmlformats.org/officeDocument/2006/relationships/customXml" Target="../customXml/item1.xml"/><Relationship Id="rId11" Type="http://schemas.openxmlformats.org/officeDocument/2006/relationships/image" Target="media/image3.png"/><Relationship Id="rId109" Type="http://schemas.openxmlformats.org/officeDocument/2006/relationships/image" Target="media/image101.png"/><Relationship Id="rId108" Type="http://schemas.openxmlformats.org/officeDocument/2006/relationships/image" Target="media/image100.png"/><Relationship Id="rId107" Type="http://schemas.openxmlformats.org/officeDocument/2006/relationships/image" Target="media/image99.png"/><Relationship Id="rId106" Type="http://schemas.openxmlformats.org/officeDocument/2006/relationships/image" Target="media/image98.png"/><Relationship Id="rId105" Type="http://schemas.openxmlformats.org/officeDocument/2006/relationships/image" Target="media/image97.png"/><Relationship Id="rId104" Type="http://schemas.openxmlformats.org/officeDocument/2006/relationships/image" Target="media/image96.png"/><Relationship Id="rId103" Type="http://schemas.openxmlformats.org/officeDocument/2006/relationships/image" Target="media/image95.png"/><Relationship Id="rId102" Type="http://schemas.openxmlformats.org/officeDocument/2006/relationships/image" Target="media/image94.png"/><Relationship Id="rId101" Type="http://schemas.openxmlformats.org/officeDocument/2006/relationships/image" Target="media/image93.png"/><Relationship Id="rId100" Type="http://schemas.openxmlformats.org/officeDocument/2006/relationships/image" Target="media/image9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F1FAD0-781E-46C7-98DD-4F402BCA81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1008</Words>
  <Characters>5746</Characters>
  <Lines>47</Lines>
  <Paragraphs>13</Paragraphs>
  <TotalTime>0</TotalTime>
  <ScaleCrop>false</ScaleCrop>
  <LinksUpToDate>false</LinksUpToDate>
  <CharactersWithSpaces>6741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gexin</dc:creator>
  <cp:lastModifiedBy>樊瑞鑫</cp:lastModifiedBy>
  <dcterms:modified xsi:type="dcterms:W3CDTF">2021-05-27T10:28:23Z</dcterms:modified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1D6ECD0DA8704D9E9E775695D43A0584</vt:lpwstr>
  </property>
</Properties>
</file>