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00" w:lineRule="exact"/>
        <w:jc w:val="left"/>
        <w:rPr>
          <w:sz w:val="24"/>
        </w:rPr>
      </w:pPr>
    </w:p>
    <w:p>
      <w:pPr>
        <w:spacing w:line="200" w:lineRule="exact"/>
        <w:jc w:val="left"/>
        <w:rPr>
          <w:sz w:val="24"/>
        </w:rPr>
      </w:pPr>
    </w:p>
    <w:p>
      <w:pPr>
        <w:spacing w:line="239" w:lineRule="auto"/>
        <w:jc w:val="center"/>
        <w:rPr>
          <w:rFonts w:ascii="宋体" w:hAnsi="宋体"/>
          <w:b/>
          <w:sz w:val="52"/>
          <w:szCs w:val="52"/>
        </w:rPr>
      </w:pPr>
      <w:r>
        <w:rPr>
          <w:rFonts w:hint="eastAsia" w:ascii="宋体" w:hAnsi="宋体"/>
          <w:b/>
          <w:sz w:val="52"/>
          <w:szCs w:val="52"/>
        </w:rPr>
        <w:t>吉林省哈达山松原灌区大安龙海灌片工程（渠系闸门电气设备、渠系闸门视频监视设备、通讯设备等采购）</w:t>
      </w:r>
    </w:p>
    <w:p>
      <w:pPr>
        <w:spacing w:line="239" w:lineRule="auto"/>
        <w:jc w:val="center"/>
        <w:rPr>
          <w:rFonts w:ascii="宋体" w:hAnsi="宋体"/>
          <w:sz w:val="28"/>
        </w:rPr>
      </w:pPr>
    </w:p>
    <w:p>
      <w:pPr>
        <w:spacing w:line="239" w:lineRule="auto"/>
        <w:jc w:val="center"/>
        <w:rPr>
          <w:rFonts w:ascii="宋体" w:hAnsi="宋体"/>
          <w:sz w:val="28"/>
        </w:rPr>
      </w:pPr>
    </w:p>
    <w:p>
      <w:pPr>
        <w:spacing w:line="239" w:lineRule="auto"/>
        <w:jc w:val="center"/>
        <w:rPr>
          <w:rFonts w:ascii="宋体" w:hAnsi="宋体"/>
          <w:sz w:val="28"/>
        </w:rPr>
      </w:pPr>
    </w:p>
    <w:p>
      <w:pPr>
        <w:spacing w:line="239" w:lineRule="auto"/>
        <w:jc w:val="center"/>
        <w:rPr>
          <w:rFonts w:ascii="宋体" w:hAnsi="宋体"/>
          <w:sz w:val="28"/>
        </w:rPr>
      </w:pPr>
    </w:p>
    <w:p>
      <w:pPr>
        <w:spacing w:line="239" w:lineRule="auto"/>
        <w:jc w:val="center"/>
        <w:rPr>
          <w:rFonts w:ascii="宋体" w:hAnsi="宋体"/>
          <w:sz w:val="28"/>
        </w:rPr>
      </w:pPr>
    </w:p>
    <w:p>
      <w:pPr>
        <w:spacing w:line="200" w:lineRule="exact"/>
        <w:jc w:val="left"/>
        <w:rPr>
          <w:sz w:val="24"/>
        </w:rPr>
      </w:pPr>
    </w:p>
    <w:p>
      <w:pPr>
        <w:spacing w:line="360" w:lineRule="auto"/>
        <w:jc w:val="center"/>
        <w:rPr>
          <w:rFonts w:ascii="宋体" w:hAnsi="宋体"/>
          <w:b/>
          <w:sz w:val="100"/>
          <w:szCs w:val="100"/>
        </w:rPr>
      </w:pPr>
      <w:r>
        <w:rPr>
          <w:rFonts w:hint="eastAsia" w:ascii="宋体" w:hAnsi="宋体"/>
          <w:b/>
          <w:sz w:val="100"/>
          <w:szCs w:val="100"/>
        </w:rPr>
        <w:t>招 标 文 件</w:t>
      </w:r>
    </w:p>
    <w:p>
      <w:pPr>
        <w:spacing w:line="360" w:lineRule="auto"/>
        <w:jc w:val="center"/>
        <w:rPr>
          <w:sz w:val="24"/>
          <w:highlight w:val="yellow"/>
        </w:rPr>
      </w:pPr>
      <w:r>
        <w:rPr>
          <w:rFonts w:hint="eastAsia" w:ascii="宋体" w:hAnsi="宋体"/>
          <w:b/>
          <w:sz w:val="32"/>
          <w:szCs w:val="32"/>
        </w:rPr>
        <w:t>招标编号：FGJL-DLH2019008</w:t>
      </w: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tabs>
          <w:tab w:val="left" w:pos="2580"/>
        </w:tabs>
        <w:spacing w:line="360" w:lineRule="auto"/>
        <w:ind w:firstLine="720"/>
        <w:rPr>
          <w:rFonts w:ascii="宋体" w:hAnsi="宋体"/>
          <w:b/>
          <w:sz w:val="30"/>
          <w:szCs w:val="30"/>
        </w:rPr>
      </w:pPr>
      <w:r>
        <w:rPr>
          <w:rFonts w:hint="eastAsia" w:ascii="宋体" w:hAnsi="宋体"/>
          <w:b/>
          <w:sz w:val="30"/>
          <w:szCs w:val="30"/>
        </w:rPr>
        <w:t>招标人：松原灌区大安工程建设管理指挥部办公室</w:t>
      </w:r>
    </w:p>
    <w:p>
      <w:pPr>
        <w:tabs>
          <w:tab w:val="left" w:pos="2580"/>
        </w:tabs>
        <w:spacing w:line="360" w:lineRule="auto"/>
        <w:ind w:firstLine="720"/>
        <w:rPr>
          <w:rFonts w:ascii="宋体" w:hAnsi="宋体"/>
          <w:b/>
          <w:sz w:val="30"/>
          <w:szCs w:val="30"/>
        </w:rPr>
      </w:pPr>
      <w:r>
        <w:rPr>
          <w:rFonts w:hint="eastAsia" w:ascii="宋体" w:hAnsi="宋体"/>
          <w:b/>
          <w:sz w:val="30"/>
          <w:szCs w:val="30"/>
        </w:rPr>
        <w:t>招标代理机构：北京泛华国金工程咨询有限公司</w:t>
      </w:r>
    </w:p>
    <w:p>
      <w:pPr>
        <w:tabs>
          <w:tab w:val="left" w:pos="2340"/>
          <w:tab w:val="left" w:pos="3360"/>
        </w:tabs>
        <w:spacing w:line="360" w:lineRule="auto"/>
        <w:jc w:val="center"/>
        <w:rPr>
          <w:b/>
          <w:sz w:val="30"/>
          <w:szCs w:val="30"/>
        </w:rPr>
      </w:pPr>
      <w:r>
        <w:rPr>
          <w:rFonts w:hint="eastAsia" w:ascii="宋体" w:hAnsi="宋体"/>
          <w:b/>
          <w:sz w:val="30"/>
          <w:szCs w:val="30"/>
        </w:rPr>
        <w:t>二零一九年十月</w:t>
      </w:r>
    </w:p>
    <w:p>
      <w:pPr>
        <w:jc w:val="center"/>
        <w:rPr>
          <w:rFonts w:ascii="宋体" w:hAnsi="宋体"/>
          <w:b/>
          <w:sz w:val="44"/>
          <w:szCs w:val="44"/>
        </w:rPr>
      </w:pPr>
      <w:r>
        <w:rPr>
          <w:sz w:val="24"/>
        </w:rPr>
        <w:br w:type="page"/>
      </w:r>
      <w:r>
        <w:rPr>
          <w:rFonts w:hint="eastAsia" w:ascii="宋体" w:hAnsi="宋体"/>
          <w:b/>
          <w:sz w:val="44"/>
          <w:szCs w:val="44"/>
        </w:rPr>
        <w:t>目  录</w:t>
      </w:r>
    </w:p>
    <w:p>
      <w:pPr>
        <w:pStyle w:val="43"/>
        <w:tabs>
          <w:tab w:val="right" w:leader="dot" w:pos="9396"/>
        </w:tabs>
        <w:rPr>
          <w:rFonts w:asciiTheme="minorHAnsi" w:hAnsiTheme="minorHAnsi" w:eastAsiaTheme="minorEastAsia" w:cstheme="minorBidi"/>
          <w:szCs w:val="22"/>
        </w:rPr>
      </w:pPr>
      <w:r>
        <w:rPr>
          <w:rStyle w:val="76"/>
          <w:rFonts w:hint="eastAsia" w:hAnsi="宋体"/>
          <w:sz w:val="24"/>
          <w:szCs w:val="24"/>
        </w:rPr>
        <w:fldChar w:fldCharType="begin"/>
      </w:r>
      <w:r>
        <w:rPr>
          <w:rStyle w:val="76"/>
          <w:rFonts w:hint="eastAsia" w:hAnsi="宋体"/>
          <w:sz w:val="24"/>
          <w:szCs w:val="24"/>
        </w:rPr>
        <w:instrText xml:space="preserve">TOC \o "1-3" \h \u </w:instrText>
      </w:r>
      <w:r>
        <w:rPr>
          <w:rStyle w:val="76"/>
          <w:rFonts w:hint="eastAsia" w:hAnsi="宋体"/>
          <w:sz w:val="24"/>
          <w:szCs w:val="24"/>
        </w:rPr>
        <w:fldChar w:fldCharType="separate"/>
      </w:r>
      <w:r>
        <w:fldChar w:fldCharType="begin"/>
      </w:r>
      <w:r>
        <w:instrText xml:space="preserve"> HYPERLINK \l "_Toc31791872" </w:instrText>
      </w:r>
      <w:r>
        <w:fldChar w:fldCharType="separate"/>
      </w:r>
      <w:r>
        <w:rPr>
          <w:rStyle w:val="76"/>
          <w:rFonts w:hint="eastAsia" w:ascii="黑体" w:hAnsi="黑体" w:eastAsia="黑体"/>
        </w:rPr>
        <w:t>第一卷</w:t>
      </w:r>
      <w:r>
        <w:tab/>
      </w:r>
      <w:r>
        <w:fldChar w:fldCharType="begin"/>
      </w:r>
      <w:r>
        <w:instrText xml:space="preserve"> PAGEREF _Toc31791872 \h </w:instrText>
      </w:r>
      <w:r>
        <w:fldChar w:fldCharType="separate"/>
      </w:r>
      <w:r>
        <w:t>1</w:t>
      </w:r>
      <w:r>
        <w:fldChar w:fldCharType="end"/>
      </w:r>
      <w:r>
        <w:fldChar w:fldCharType="end"/>
      </w:r>
    </w:p>
    <w:p>
      <w:pPr>
        <w:pStyle w:val="55"/>
        <w:tabs>
          <w:tab w:val="right" w:leader="dot" w:pos="9396"/>
        </w:tabs>
        <w:rPr>
          <w:rFonts w:asciiTheme="minorHAnsi" w:hAnsiTheme="minorHAnsi" w:eastAsiaTheme="minorEastAsia" w:cstheme="minorBidi"/>
          <w:szCs w:val="22"/>
        </w:rPr>
      </w:pPr>
      <w:r>
        <w:fldChar w:fldCharType="begin"/>
      </w:r>
      <w:r>
        <w:instrText xml:space="preserve"> HYPERLINK \l "_Toc31791873" </w:instrText>
      </w:r>
      <w:r>
        <w:fldChar w:fldCharType="separate"/>
      </w:r>
      <w:r>
        <w:rPr>
          <w:rStyle w:val="76"/>
          <w:rFonts w:hint="eastAsia" w:ascii="宋体" w:hAnsi="宋体"/>
        </w:rPr>
        <w:t>第一章 招标公告</w:t>
      </w:r>
      <w:r>
        <w:tab/>
      </w:r>
      <w:r>
        <w:fldChar w:fldCharType="begin"/>
      </w:r>
      <w:r>
        <w:instrText xml:space="preserve"> PAGEREF _Toc31791873 \h </w:instrText>
      </w:r>
      <w:r>
        <w:fldChar w:fldCharType="separate"/>
      </w:r>
      <w:r>
        <w:t>2</w:t>
      </w:r>
      <w:r>
        <w:fldChar w:fldCharType="end"/>
      </w:r>
      <w:r>
        <w:fldChar w:fldCharType="end"/>
      </w:r>
    </w:p>
    <w:p>
      <w:pPr>
        <w:pStyle w:val="55"/>
        <w:tabs>
          <w:tab w:val="right" w:leader="dot" w:pos="9396"/>
        </w:tabs>
        <w:rPr>
          <w:rFonts w:asciiTheme="minorHAnsi" w:hAnsiTheme="minorHAnsi" w:eastAsiaTheme="minorEastAsia" w:cstheme="minorBidi"/>
          <w:szCs w:val="22"/>
        </w:rPr>
      </w:pPr>
      <w:r>
        <w:fldChar w:fldCharType="begin"/>
      </w:r>
      <w:r>
        <w:instrText xml:space="preserve"> HYPERLINK \l "_Toc31791874" </w:instrText>
      </w:r>
      <w:r>
        <w:fldChar w:fldCharType="separate"/>
      </w:r>
      <w:r>
        <w:rPr>
          <w:rStyle w:val="76"/>
          <w:rFonts w:hint="eastAsia" w:ascii="宋体" w:hAnsi="宋体"/>
        </w:rPr>
        <w:t>第二章</w:t>
      </w:r>
      <w:r>
        <w:rPr>
          <w:rStyle w:val="76"/>
          <w:rFonts w:ascii="宋体" w:hAnsi="宋体"/>
        </w:rPr>
        <w:t xml:space="preserve"> </w:t>
      </w:r>
      <w:r>
        <w:rPr>
          <w:rStyle w:val="76"/>
          <w:rFonts w:hint="eastAsia" w:ascii="宋体" w:hAnsi="宋体"/>
        </w:rPr>
        <w:t>投标人须知</w:t>
      </w:r>
      <w:r>
        <w:tab/>
      </w:r>
      <w:r>
        <w:fldChar w:fldCharType="begin"/>
      </w:r>
      <w:r>
        <w:instrText xml:space="preserve"> PAGEREF _Toc31791874 \h </w:instrText>
      </w:r>
      <w:r>
        <w:fldChar w:fldCharType="separate"/>
      </w:r>
      <w:r>
        <w:t>3</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"_Toc31791875" </w:instrText>
      </w:r>
      <w:r>
        <w:fldChar w:fldCharType="separate"/>
      </w:r>
      <w:r>
        <w:rPr>
          <w:rStyle w:val="76"/>
          <w:rFonts w:hint="eastAsia" w:ascii="宋体" w:hAnsi="宋体"/>
        </w:rPr>
        <w:t>投标人须知前附表</w:t>
      </w:r>
      <w:r>
        <w:tab/>
      </w:r>
      <w:r>
        <w:fldChar w:fldCharType="begin"/>
      </w:r>
      <w:r>
        <w:instrText xml:space="preserve"> PAGEREF _Toc31791875 \h </w:instrText>
      </w:r>
      <w:r>
        <w:fldChar w:fldCharType="separate"/>
      </w:r>
      <w:r>
        <w:t>3</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"_Toc31791876" </w:instrText>
      </w:r>
      <w:r>
        <w:fldChar w:fldCharType="separate"/>
      </w:r>
      <w:r>
        <w:rPr>
          <w:rStyle w:val="76"/>
          <w:rFonts w:ascii="宋体" w:hAnsi="宋体"/>
        </w:rPr>
        <w:t>1.</w:t>
      </w:r>
      <w:r>
        <w:rPr>
          <w:rStyle w:val="76"/>
          <w:rFonts w:hint="eastAsia" w:ascii="宋体" w:hAnsi="宋体"/>
        </w:rPr>
        <w:t>总则</w:t>
      </w:r>
      <w:r>
        <w:tab/>
      </w:r>
      <w:r>
        <w:fldChar w:fldCharType="begin"/>
      </w:r>
      <w:r>
        <w:instrText xml:space="preserve"> PAGEREF _Toc31791876 \h </w:instrText>
      </w:r>
      <w:r>
        <w:fldChar w:fldCharType="separate"/>
      </w:r>
      <w:r>
        <w:t>9</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"_Toc31791877" </w:instrText>
      </w:r>
      <w:r>
        <w:fldChar w:fldCharType="separate"/>
      </w:r>
      <w:r>
        <w:rPr>
          <w:rStyle w:val="76"/>
          <w:rFonts w:hint="eastAsia" w:ascii="宋体" w:hAnsi="宋体"/>
        </w:rPr>
        <w:t>附件一：开标记录表</w:t>
      </w:r>
      <w:r>
        <w:tab/>
      </w:r>
      <w:r>
        <w:fldChar w:fldCharType="begin"/>
      </w:r>
      <w:r>
        <w:instrText xml:space="preserve"> PAGEREF _Toc31791877 \h </w:instrText>
      </w:r>
      <w:r>
        <w:fldChar w:fldCharType="separate"/>
      </w:r>
      <w:r>
        <w:t>20</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"_Toc31791878" </w:instrText>
      </w:r>
      <w:r>
        <w:fldChar w:fldCharType="separate"/>
      </w:r>
      <w:r>
        <w:rPr>
          <w:rStyle w:val="76"/>
          <w:rFonts w:hint="eastAsia" w:ascii="宋体" w:hAnsi="宋体"/>
        </w:rPr>
        <w:t>附件二：问题澄清通知</w:t>
      </w:r>
      <w:r>
        <w:tab/>
      </w:r>
      <w:r>
        <w:fldChar w:fldCharType="begin"/>
      </w:r>
      <w:r>
        <w:instrText xml:space="preserve"> PAGEREF _Toc31791878 \h </w:instrText>
      </w:r>
      <w:r>
        <w:fldChar w:fldCharType="separate"/>
      </w:r>
      <w:r>
        <w:t>21</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"_Toc31791879" </w:instrText>
      </w:r>
      <w:r>
        <w:fldChar w:fldCharType="separate"/>
      </w:r>
      <w:r>
        <w:rPr>
          <w:rStyle w:val="76"/>
          <w:rFonts w:hint="eastAsia" w:ascii="宋体" w:hAnsi="宋体"/>
        </w:rPr>
        <w:t>附件三：问题的澄清</w:t>
      </w:r>
      <w:r>
        <w:tab/>
      </w:r>
      <w:r>
        <w:fldChar w:fldCharType="begin"/>
      </w:r>
      <w:r>
        <w:instrText xml:space="preserve"> PAGEREF _Toc31791879 \h </w:instrText>
      </w:r>
      <w:r>
        <w:fldChar w:fldCharType="separate"/>
      </w:r>
      <w:r>
        <w:t>22</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"_Toc31791880" </w:instrText>
      </w:r>
      <w:r>
        <w:fldChar w:fldCharType="separate"/>
      </w:r>
      <w:r>
        <w:rPr>
          <w:rStyle w:val="76"/>
          <w:rFonts w:hint="eastAsia" w:ascii="宋体" w:hAnsi="宋体"/>
        </w:rPr>
        <w:t>附件四：中标通知书</w:t>
      </w:r>
      <w:r>
        <w:tab/>
      </w:r>
      <w:r>
        <w:fldChar w:fldCharType="begin"/>
      </w:r>
      <w:r>
        <w:instrText xml:space="preserve"> PAGEREF _Toc31791880 \h </w:instrText>
      </w:r>
      <w:r>
        <w:fldChar w:fldCharType="separate"/>
      </w:r>
      <w:r>
        <w:t>23</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"_Toc31791881" </w:instrText>
      </w:r>
      <w:r>
        <w:fldChar w:fldCharType="separate"/>
      </w:r>
      <w:r>
        <w:rPr>
          <w:rStyle w:val="76"/>
          <w:rFonts w:hint="eastAsia" w:ascii="宋体" w:hAnsi="宋体"/>
        </w:rPr>
        <w:t>附件六：确认通知</w:t>
      </w:r>
      <w:r>
        <w:tab/>
      </w:r>
      <w:r>
        <w:fldChar w:fldCharType="begin"/>
      </w:r>
      <w:r>
        <w:instrText xml:space="preserve"> PAGEREF _Toc31791881 \h </w:instrText>
      </w:r>
      <w:r>
        <w:fldChar w:fldCharType="separate"/>
      </w:r>
      <w:r>
        <w:t>25</w:t>
      </w:r>
      <w:r>
        <w:fldChar w:fldCharType="end"/>
      </w:r>
      <w:r>
        <w:fldChar w:fldCharType="end"/>
      </w:r>
    </w:p>
    <w:p>
      <w:pPr>
        <w:pStyle w:val="55"/>
        <w:tabs>
          <w:tab w:val="right" w:leader="dot" w:pos="9396"/>
        </w:tabs>
        <w:rPr>
          <w:rFonts w:asciiTheme="minorHAnsi" w:hAnsiTheme="minorHAnsi" w:eastAsiaTheme="minorEastAsia" w:cstheme="minorBidi"/>
          <w:szCs w:val="22"/>
        </w:rPr>
      </w:pPr>
      <w:r>
        <w:fldChar w:fldCharType="begin"/>
      </w:r>
      <w:r>
        <w:instrText xml:space="preserve"> HYPERLINK \l "_Toc31791882" </w:instrText>
      </w:r>
      <w:r>
        <w:fldChar w:fldCharType="separate"/>
      </w:r>
      <w:r>
        <w:rPr>
          <w:rStyle w:val="76"/>
          <w:rFonts w:hint="eastAsia" w:ascii="宋体" w:hAnsi="宋体"/>
        </w:rPr>
        <w:t>第三章</w:t>
      </w:r>
      <w:r>
        <w:rPr>
          <w:rStyle w:val="76"/>
          <w:rFonts w:ascii="宋体" w:hAnsi="宋体"/>
        </w:rPr>
        <w:t xml:space="preserve"> </w:t>
      </w:r>
      <w:r>
        <w:rPr>
          <w:rStyle w:val="76"/>
          <w:rFonts w:hint="eastAsia" w:ascii="宋体" w:hAnsi="宋体"/>
        </w:rPr>
        <w:t>评标办法（综合评估法）</w:t>
      </w:r>
      <w:r>
        <w:tab/>
      </w:r>
      <w:r>
        <w:fldChar w:fldCharType="begin"/>
      </w:r>
      <w:r>
        <w:instrText xml:space="preserve"> PAGEREF _Toc31791882 \h </w:instrText>
      </w:r>
      <w:r>
        <w:fldChar w:fldCharType="separate"/>
      </w:r>
      <w:r>
        <w:t>26</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"_Toc31791883" </w:instrText>
      </w:r>
      <w:r>
        <w:fldChar w:fldCharType="separate"/>
      </w:r>
      <w:r>
        <w:rPr>
          <w:rStyle w:val="76"/>
          <w:rFonts w:hint="eastAsia" w:ascii="宋体" w:hAnsi="宋体"/>
        </w:rPr>
        <w:t>评标办法前附表</w:t>
      </w:r>
      <w:r>
        <w:tab/>
      </w:r>
      <w:r>
        <w:fldChar w:fldCharType="begin"/>
      </w:r>
      <w:r>
        <w:instrText xml:space="preserve"> PAGEREF _Toc31791883 \h </w:instrText>
      </w:r>
      <w:r>
        <w:fldChar w:fldCharType="separate"/>
      </w:r>
      <w:r>
        <w:t>26</w:t>
      </w:r>
      <w:r>
        <w:fldChar w:fldCharType="end"/>
      </w:r>
      <w:r>
        <w:fldChar w:fldCharType="end"/>
      </w:r>
    </w:p>
    <w:p>
      <w:pPr>
        <w:pStyle w:val="55"/>
        <w:tabs>
          <w:tab w:val="right" w:leader="dot" w:pos="9396"/>
        </w:tabs>
        <w:rPr>
          <w:rFonts w:asciiTheme="minorHAnsi" w:hAnsiTheme="minorHAnsi" w:eastAsiaTheme="minorEastAsia" w:cstheme="minorBidi"/>
          <w:szCs w:val="22"/>
        </w:rPr>
      </w:pPr>
      <w:r>
        <w:fldChar w:fldCharType="begin"/>
      </w:r>
      <w:r>
        <w:instrText xml:space="preserve"> HYPERLINK \l "_Toc31791884" </w:instrText>
      </w:r>
      <w:r>
        <w:fldChar w:fldCharType="separate"/>
      </w:r>
      <w:r>
        <w:rPr>
          <w:rStyle w:val="76"/>
          <w:rFonts w:hint="eastAsia" w:ascii="宋体" w:hAnsi="宋体"/>
        </w:rPr>
        <w:t>第四章</w:t>
      </w:r>
      <w:r>
        <w:rPr>
          <w:rStyle w:val="76"/>
          <w:rFonts w:ascii="宋体" w:hAnsi="宋体"/>
        </w:rPr>
        <w:t xml:space="preserve"> </w:t>
      </w:r>
      <w:r>
        <w:rPr>
          <w:rStyle w:val="76"/>
          <w:rFonts w:hint="eastAsia" w:ascii="宋体" w:hAnsi="宋体"/>
        </w:rPr>
        <w:t>合同条款及格式</w:t>
      </w:r>
      <w:r>
        <w:tab/>
      </w:r>
      <w:r>
        <w:fldChar w:fldCharType="begin"/>
      </w:r>
      <w:r>
        <w:instrText xml:space="preserve"> PAGEREF _Toc31791884 \h </w:instrText>
      </w:r>
      <w:r>
        <w:fldChar w:fldCharType="separate"/>
      </w:r>
      <w:r>
        <w:t>31</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"_Toc31791885" </w:instrText>
      </w:r>
      <w:r>
        <w:fldChar w:fldCharType="separate"/>
      </w:r>
      <w:r>
        <w:rPr>
          <w:rStyle w:val="76"/>
          <w:rFonts w:hint="eastAsia" w:ascii="宋体" w:hAnsi="宋体"/>
        </w:rPr>
        <w:t>第一节</w:t>
      </w:r>
      <w:r>
        <w:rPr>
          <w:rStyle w:val="76"/>
          <w:rFonts w:ascii="宋体" w:hAnsi="宋体"/>
        </w:rPr>
        <w:t xml:space="preserve"> </w:t>
      </w:r>
      <w:r>
        <w:rPr>
          <w:rStyle w:val="76"/>
          <w:rFonts w:hint="eastAsia" w:ascii="宋体" w:hAnsi="宋体"/>
        </w:rPr>
        <w:t>通用合同条款</w:t>
      </w:r>
      <w:r>
        <w:tab/>
      </w:r>
      <w:r>
        <w:fldChar w:fldCharType="begin"/>
      </w:r>
      <w:r>
        <w:instrText xml:space="preserve"> PAGEREF _Toc31791885 \h </w:instrText>
      </w:r>
      <w:r>
        <w:fldChar w:fldCharType="separate"/>
      </w:r>
      <w:r>
        <w:t>31</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"_Toc31791886" </w:instrText>
      </w:r>
      <w:r>
        <w:fldChar w:fldCharType="separate"/>
      </w:r>
      <w:r>
        <w:rPr>
          <w:rStyle w:val="76"/>
          <w:rFonts w:hint="eastAsia" w:ascii="宋体" w:hAnsi="宋体"/>
        </w:rPr>
        <w:t>第二节</w:t>
      </w:r>
      <w:r>
        <w:rPr>
          <w:rStyle w:val="76"/>
          <w:rFonts w:ascii="宋体" w:hAnsi="宋体"/>
        </w:rPr>
        <w:t xml:space="preserve"> </w:t>
      </w:r>
      <w:r>
        <w:rPr>
          <w:rStyle w:val="76"/>
          <w:rFonts w:hint="eastAsia" w:ascii="宋体" w:hAnsi="宋体"/>
        </w:rPr>
        <w:t>专用合同条款</w:t>
      </w:r>
      <w:r>
        <w:tab/>
      </w:r>
      <w:r>
        <w:fldChar w:fldCharType="begin"/>
      </w:r>
      <w:r>
        <w:instrText xml:space="preserve"> PAGEREF _Toc31791886 \h </w:instrText>
      </w:r>
      <w:r>
        <w:fldChar w:fldCharType="separate"/>
      </w:r>
      <w:r>
        <w:t>44</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"_Toc31791887" </w:instrText>
      </w:r>
      <w:r>
        <w:fldChar w:fldCharType="separate"/>
      </w:r>
      <w:r>
        <w:rPr>
          <w:rStyle w:val="76"/>
          <w:rFonts w:hint="eastAsia" w:ascii="宋体" w:hAnsi="宋体"/>
        </w:rPr>
        <w:t>第三节</w:t>
      </w:r>
      <w:r>
        <w:rPr>
          <w:rStyle w:val="76"/>
          <w:rFonts w:ascii="宋体" w:hAnsi="宋体"/>
        </w:rPr>
        <w:t xml:space="preserve"> </w:t>
      </w:r>
      <w:r>
        <w:rPr>
          <w:rStyle w:val="76"/>
          <w:rFonts w:hint="eastAsia" w:ascii="宋体" w:hAnsi="宋体"/>
        </w:rPr>
        <w:t>合同附件格式</w:t>
      </w:r>
      <w:r>
        <w:tab/>
      </w:r>
      <w:r>
        <w:fldChar w:fldCharType="begin"/>
      </w:r>
      <w:r>
        <w:instrText xml:space="preserve"> PAGEREF _Toc31791887 \h </w:instrText>
      </w:r>
      <w:r>
        <w:fldChar w:fldCharType="separate"/>
      </w:r>
      <w:r>
        <w:t>46</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"_Toc31791888" </w:instrText>
      </w:r>
      <w:r>
        <w:fldChar w:fldCharType="separate"/>
      </w:r>
      <w:r>
        <w:rPr>
          <w:rStyle w:val="76"/>
          <w:rFonts w:hint="eastAsia" w:ascii="宋体" w:hAnsi="宋体"/>
        </w:rPr>
        <w:t>附件一：合同协议书</w:t>
      </w:r>
      <w:r>
        <w:tab/>
      </w:r>
      <w:r>
        <w:fldChar w:fldCharType="begin"/>
      </w:r>
      <w:r>
        <w:instrText xml:space="preserve"> PAGEREF _Toc31791888 \h </w:instrText>
      </w:r>
      <w:r>
        <w:fldChar w:fldCharType="separate"/>
      </w:r>
      <w:r>
        <w:t>46</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"_Toc31791889" </w:instrText>
      </w:r>
      <w:r>
        <w:fldChar w:fldCharType="separate"/>
      </w:r>
      <w:r>
        <w:rPr>
          <w:rStyle w:val="76"/>
          <w:rFonts w:hint="eastAsia" w:ascii="宋体" w:hAnsi="宋体"/>
        </w:rPr>
        <w:t>附件二：履约保证金格式</w:t>
      </w:r>
      <w:r>
        <w:tab/>
      </w:r>
      <w:r>
        <w:fldChar w:fldCharType="begin"/>
      </w:r>
      <w:r>
        <w:instrText xml:space="preserve"> PAGEREF _Toc31791889 \h </w:instrText>
      </w:r>
      <w:r>
        <w:fldChar w:fldCharType="separate"/>
      </w:r>
      <w:r>
        <w:t>47</w:t>
      </w:r>
      <w:r>
        <w:fldChar w:fldCharType="end"/>
      </w:r>
      <w:r>
        <w:fldChar w:fldCharType="end"/>
      </w:r>
    </w:p>
    <w:p>
      <w:pPr>
        <w:pStyle w:val="43"/>
        <w:tabs>
          <w:tab w:val="right" w:leader="dot" w:pos="9396"/>
        </w:tabs>
        <w:rPr>
          <w:rFonts w:asciiTheme="minorHAnsi" w:hAnsiTheme="minorHAnsi" w:eastAsiaTheme="minorEastAsia" w:cstheme="minorBidi"/>
          <w:szCs w:val="22"/>
        </w:rPr>
      </w:pPr>
      <w:r>
        <w:fldChar w:fldCharType="begin"/>
      </w:r>
      <w:r>
        <w:instrText xml:space="preserve"> HYPERLINK \l "_Toc31791890" </w:instrText>
      </w:r>
      <w:r>
        <w:fldChar w:fldCharType="separate"/>
      </w:r>
      <w:r>
        <w:rPr>
          <w:rStyle w:val="76"/>
          <w:rFonts w:hint="eastAsia" w:ascii="黑体" w:hAnsi="黑体" w:eastAsia="黑体"/>
        </w:rPr>
        <w:t>第二卷</w:t>
      </w:r>
      <w:r>
        <w:tab/>
      </w:r>
      <w:r>
        <w:fldChar w:fldCharType="begin"/>
      </w:r>
      <w:r>
        <w:instrText xml:space="preserve"> PAGEREF _Toc31791890 \h </w:instrText>
      </w:r>
      <w:r>
        <w:fldChar w:fldCharType="separate"/>
      </w:r>
      <w:r>
        <w:t>48</w:t>
      </w:r>
      <w:r>
        <w:fldChar w:fldCharType="end"/>
      </w:r>
      <w:r>
        <w:fldChar w:fldCharType="end"/>
      </w:r>
    </w:p>
    <w:p>
      <w:pPr>
        <w:pStyle w:val="55"/>
        <w:tabs>
          <w:tab w:val="right" w:leader="dot" w:pos="9396"/>
        </w:tabs>
        <w:rPr>
          <w:rFonts w:asciiTheme="minorHAnsi" w:hAnsiTheme="minorHAnsi" w:eastAsiaTheme="minorEastAsia" w:cstheme="minorBidi"/>
          <w:szCs w:val="22"/>
        </w:rPr>
      </w:pPr>
      <w:r>
        <w:fldChar w:fldCharType="begin"/>
      </w:r>
      <w:r>
        <w:instrText xml:space="preserve"> HYPERLINK \l "_Toc31791891" </w:instrText>
      </w:r>
      <w:r>
        <w:fldChar w:fldCharType="separate"/>
      </w:r>
      <w:r>
        <w:rPr>
          <w:rStyle w:val="76"/>
          <w:rFonts w:hint="eastAsia" w:ascii="宋体" w:hAnsi="宋体"/>
        </w:rPr>
        <w:t>第五章</w:t>
      </w:r>
      <w:r>
        <w:rPr>
          <w:rStyle w:val="76"/>
          <w:rFonts w:ascii="宋体" w:hAnsi="宋体"/>
        </w:rPr>
        <w:t xml:space="preserve"> </w:t>
      </w:r>
      <w:r>
        <w:rPr>
          <w:rStyle w:val="76"/>
          <w:rFonts w:hint="eastAsia" w:ascii="宋体" w:hAnsi="宋体"/>
        </w:rPr>
        <w:t>供货要求</w:t>
      </w:r>
      <w:r>
        <w:tab/>
      </w:r>
      <w:r>
        <w:fldChar w:fldCharType="begin"/>
      </w:r>
      <w:r>
        <w:instrText xml:space="preserve"> PAGEREF _Toc31791891 \h </w:instrText>
      </w:r>
      <w:r>
        <w:fldChar w:fldCharType="separate"/>
      </w:r>
      <w:r>
        <w:t>49</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"_Toc31791892" </w:instrText>
      </w:r>
      <w:r>
        <w:fldChar w:fldCharType="separate"/>
      </w:r>
      <w:r>
        <w:rPr>
          <w:rStyle w:val="76"/>
          <w:rFonts w:ascii="宋体" w:hAnsi="宋体"/>
        </w:rPr>
        <w:t xml:space="preserve">1 </w:t>
      </w:r>
      <w:r>
        <w:rPr>
          <w:rStyle w:val="76"/>
          <w:rFonts w:hint="eastAsia" w:ascii="宋体" w:hAnsi="宋体"/>
        </w:rPr>
        <w:t>工程概况</w:t>
      </w:r>
      <w:r>
        <w:tab/>
      </w:r>
      <w:r>
        <w:fldChar w:fldCharType="begin"/>
      </w:r>
      <w:r>
        <w:instrText xml:space="preserve"> PAGEREF _Toc31791892 \h </w:instrText>
      </w:r>
      <w:r>
        <w:fldChar w:fldCharType="separate"/>
      </w:r>
      <w:r>
        <w:t>50</w:t>
      </w:r>
      <w:r>
        <w:fldChar w:fldCharType="end"/>
      </w:r>
      <w:r>
        <w:fldChar w:fldCharType="end"/>
      </w:r>
    </w:p>
    <w:p>
      <w:pPr>
        <w:pStyle w:val="55"/>
        <w:tabs>
          <w:tab w:val="right" w:leader="dot" w:pos="9396"/>
        </w:tabs>
        <w:rPr>
          <w:rFonts w:asciiTheme="minorHAnsi" w:hAnsiTheme="minorHAnsi" w:eastAsiaTheme="minorEastAsia" w:cstheme="minorBidi"/>
          <w:szCs w:val="22"/>
        </w:rPr>
      </w:pPr>
      <w:r>
        <w:fldChar w:fldCharType="begin"/>
      </w:r>
      <w:r>
        <w:instrText xml:space="preserve"> HYPERLINK \l "_Toc31791893" </w:instrText>
      </w:r>
      <w:r>
        <w:fldChar w:fldCharType="separate"/>
      </w:r>
      <w:r>
        <w:rPr>
          <w:rStyle w:val="76"/>
          <w:rFonts w:hint="eastAsia" w:ascii="宋体" w:hAnsi="宋体"/>
        </w:rPr>
        <w:t>二、大安片区渠系闸门</w:t>
      </w:r>
      <w:r>
        <w:rPr>
          <w:rStyle w:val="76"/>
          <w:rFonts w:ascii="宋体" w:hAnsi="宋体"/>
        </w:rPr>
        <w:t>10kV</w:t>
      </w:r>
      <w:r>
        <w:rPr>
          <w:rStyle w:val="76"/>
          <w:rFonts w:hint="eastAsia" w:ascii="宋体" w:hAnsi="宋体"/>
        </w:rPr>
        <w:t>箱式变电站</w:t>
      </w:r>
      <w:r>
        <w:tab/>
      </w:r>
      <w:r>
        <w:fldChar w:fldCharType="begin"/>
      </w:r>
      <w:r>
        <w:instrText xml:space="preserve"> PAGEREF _Toc31791893 \h </w:instrText>
      </w:r>
      <w:r>
        <w:fldChar w:fldCharType="separate"/>
      </w:r>
      <w:r>
        <w:t>51</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"_Toc31791894" </w:instrText>
      </w:r>
      <w:r>
        <w:fldChar w:fldCharType="separate"/>
      </w:r>
      <w:r>
        <w:rPr>
          <w:rStyle w:val="76"/>
          <w:rFonts w:ascii="宋体" w:hAnsi="宋体"/>
        </w:rPr>
        <w:t>1</w:t>
      </w:r>
      <w:r>
        <w:rPr>
          <w:rStyle w:val="76"/>
          <w:rFonts w:hint="eastAsia" w:ascii="宋体" w:hAnsi="宋体"/>
        </w:rPr>
        <w:t>、概述</w:t>
      </w:r>
      <w:r>
        <w:tab/>
      </w:r>
      <w:r>
        <w:fldChar w:fldCharType="begin"/>
      </w:r>
      <w:r>
        <w:instrText xml:space="preserve"> PAGEREF _Toc31791894 \h </w:instrText>
      </w:r>
      <w:r>
        <w:fldChar w:fldCharType="separate"/>
      </w:r>
      <w:r>
        <w:t>51</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"_Toc31791895" </w:instrText>
      </w:r>
      <w:r>
        <w:fldChar w:fldCharType="separate"/>
      </w:r>
      <w:r>
        <w:rPr>
          <w:rStyle w:val="76"/>
          <w:rFonts w:ascii="宋体" w:hAnsi="宋体"/>
        </w:rPr>
        <w:t>2</w:t>
      </w:r>
      <w:r>
        <w:rPr>
          <w:rStyle w:val="76"/>
          <w:rFonts w:hint="eastAsia" w:ascii="宋体" w:hAnsi="宋体"/>
        </w:rPr>
        <w:t>、执行标准</w:t>
      </w:r>
      <w:r>
        <w:tab/>
      </w:r>
      <w:r>
        <w:fldChar w:fldCharType="begin"/>
      </w:r>
      <w:r>
        <w:instrText xml:space="preserve"> PAGEREF _Toc31791895 \h </w:instrText>
      </w:r>
      <w:r>
        <w:fldChar w:fldCharType="separate"/>
      </w:r>
      <w:r>
        <w:t>51</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"_Toc31791896" </w:instrText>
      </w:r>
      <w:r>
        <w:fldChar w:fldCharType="separate"/>
      </w:r>
      <w:r>
        <w:rPr>
          <w:rStyle w:val="76"/>
          <w:rFonts w:ascii="宋体" w:hAnsi="宋体"/>
        </w:rPr>
        <w:t>3</w:t>
      </w:r>
      <w:r>
        <w:rPr>
          <w:rStyle w:val="76"/>
          <w:rFonts w:hint="eastAsia" w:ascii="宋体" w:hAnsi="宋体"/>
        </w:rPr>
        <w:t>、箱式变电站</w:t>
      </w:r>
      <w:r>
        <w:tab/>
      </w:r>
      <w:r>
        <w:fldChar w:fldCharType="begin"/>
      </w:r>
      <w:r>
        <w:instrText xml:space="preserve"> PAGEREF _Toc31791896 \h </w:instrText>
      </w:r>
      <w:r>
        <w:fldChar w:fldCharType="separate"/>
      </w:r>
      <w:r>
        <w:t>52</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"_Toc31791897" </w:instrText>
      </w:r>
      <w:r>
        <w:fldChar w:fldCharType="separate"/>
      </w:r>
      <w:r>
        <w:rPr>
          <w:rStyle w:val="76"/>
          <w:rFonts w:ascii="宋体" w:hAnsi="宋体"/>
        </w:rPr>
        <w:t>4</w:t>
      </w:r>
      <w:r>
        <w:rPr>
          <w:rStyle w:val="76"/>
          <w:rFonts w:hint="eastAsia" w:ascii="宋体" w:hAnsi="宋体"/>
        </w:rPr>
        <w:t>、使用环境条件</w:t>
      </w:r>
      <w:r>
        <w:tab/>
      </w:r>
      <w:r>
        <w:fldChar w:fldCharType="begin"/>
      </w:r>
      <w:r>
        <w:instrText xml:space="preserve"> PAGEREF _Toc31791897 \h </w:instrText>
      </w:r>
      <w:r>
        <w:fldChar w:fldCharType="separate"/>
      </w:r>
      <w:r>
        <w:t>52</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"_Toc31791898" </w:instrText>
      </w:r>
      <w:r>
        <w:fldChar w:fldCharType="separate"/>
      </w:r>
      <w:r>
        <w:rPr>
          <w:rStyle w:val="76"/>
          <w:rFonts w:ascii="宋体" w:hAnsi="宋体"/>
        </w:rPr>
        <w:t>5</w:t>
      </w:r>
      <w:r>
        <w:rPr>
          <w:rStyle w:val="76"/>
          <w:rFonts w:hint="eastAsia" w:ascii="宋体" w:hAnsi="宋体"/>
        </w:rPr>
        <w:t>、结构和技术要求</w:t>
      </w:r>
      <w:r>
        <w:tab/>
      </w:r>
      <w:r>
        <w:fldChar w:fldCharType="begin"/>
      </w:r>
      <w:r>
        <w:instrText xml:space="preserve"> PAGEREF _Toc31791898 \h </w:instrText>
      </w:r>
      <w:r>
        <w:fldChar w:fldCharType="separate"/>
      </w:r>
      <w:r>
        <w:t>52</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"_Toc31791899" </w:instrText>
      </w:r>
      <w:r>
        <w:fldChar w:fldCharType="separate"/>
      </w:r>
      <w:r>
        <w:rPr>
          <w:rStyle w:val="76"/>
          <w:rFonts w:ascii="宋体" w:hAnsi="宋体"/>
        </w:rPr>
        <w:t>6</w:t>
      </w:r>
      <w:r>
        <w:rPr>
          <w:rStyle w:val="76"/>
          <w:rFonts w:hint="eastAsia" w:ascii="宋体" w:hAnsi="宋体"/>
        </w:rPr>
        <w:t>、高压配电装置</w:t>
      </w:r>
      <w:r>
        <w:tab/>
      </w:r>
      <w:r>
        <w:fldChar w:fldCharType="begin"/>
      </w:r>
      <w:r>
        <w:instrText xml:space="preserve"> PAGEREF _Toc31791899 \h </w:instrText>
      </w:r>
      <w:r>
        <w:fldChar w:fldCharType="separate"/>
      </w:r>
      <w:r>
        <w:t>52</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"_Toc31791900" </w:instrText>
      </w:r>
      <w:r>
        <w:fldChar w:fldCharType="separate"/>
      </w:r>
      <w:r>
        <w:rPr>
          <w:rStyle w:val="76"/>
          <w:rFonts w:ascii="宋体" w:hAnsi="宋体"/>
        </w:rPr>
        <w:t>7</w:t>
      </w:r>
      <w:r>
        <w:rPr>
          <w:rStyle w:val="76"/>
          <w:rFonts w:hint="eastAsia" w:ascii="宋体" w:hAnsi="宋体"/>
        </w:rPr>
        <w:t>、变压器</w:t>
      </w:r>
      <w:r>
        <w:tab/>
      </w:r>
      <w:r>
        <w:fldChar w:fldCharType="begin"/>
      </w:r>
      <w:r>
        <w:instrText xml:space="preserve"> PAGEREF _Toc31791900 \h </w:instrText>
      </w:r>
      <w:r>
        <w:fldChar w:fldCharType="separate"/>
      </w:r>
      <w:r>
        <w:t>53</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"_Toc31791901" </w:instrText>
      </w:r>
      <w:r>
        <w:fldChar w:fldCharType="separate"/>
      </w:r>
      <w:r>
        <w:rPr>
          <w:rStyle w:val="76"/>
          <w:rFonts w:ascii="宋体" w:hAnsi="宋体"/>
        </w:rPr>
        <w:t>8</w:t>
      </w:r>
      <w:r>
        <w:rPr>
          <w:rStyle w:val="76"/>
          <w:rFonts w:hint="eastAsia" w:ascii="宋体" w:hAnsi="宋体"/>
        </w:rPr>
        <w:t>、低压配电装置</w:t>
      </w:r>
      <w:r>
        <w:tab/>
      </w:r>
      <w:r>
        <w:fldChar w:fldCharType="begin"/>
      </w:r>
      <w:r>
        <w:instrText xml:space="preserve"> PAGEREF _Toc31791901 \h </w:instrText>
      </w:r>
      <w:r>
        <w:fldChar w:fldCharType="separate"/>
      </w:r>
      <w:r>
        <w:t>53</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"_Toc31791902" </w:instrText>
      </w:r>
      <w:r>
        <w:fldChar w:fldCharType="separate"/>
      </w:r>
      <w:r>
        <w:rPr>
          <w:rStyle w:val="76"/>
          <w:rFonts w:ascii="宋体" w:hAnsi="宋体"/>
        </w:rPr>
        <w:t>9</w:t>
      </w:r>
      <w:r>
        <w:rPr>
          <w:rStyle w:val="76"/>
          <w:rFonts w:hint="eastAsia" w:ascii="宋体" w:hAnsi="宋体"/>
        </w:rPr>
        <w:t>、箱式变型式、出厂试验、包装、保管、运输、标志必须符合</w:t>
      </w:r>
      <w:r>
        <w:rPr>
          <w:rStyle w:val="76"/>
          <w:rFonts w:ascii="宋体" w:hAnsi="宋体"/>
        </w:rPr>
        <w:t>DL/T537</w:t>
      </w:r>
      <w:r>
        <w:rPr>
          <w:rStyle w:val="76"/>
          <w:rFonts w:hint="eastAsia" w:ascii="宋体" w:hAnsi="宋体"/>
        </w:rPr>
        <w:t>之规定。</w:t>
      </w:r>
      <w:r>
        <w:tab/>
      </w:r>
      <w:r>
        <w:fldChar w:fldCharType="begin"/>
      </w:r>
      <w:r>
        <w:instrText xml:space="preserve"> PAGEREF _Toc31791902 \h </w:instrText>
      </w:r>
      <w:r>
        <w:fldChar w:fldCharType="separate"/>
      </w:r>
      <w:r>
        <w:t>53</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"_Toc31791903" </w:instrText>
      </w:r>
      <w:r>
        <w:fldChar w:fldCharType="separate"/>
      </w:r>
      <w:r>
        <w:rPr>
          <w:rStyle w:val="76"/>
          <w:rFonts w:ascii="宋体" w:hAnsi="宋体"/>
        </w:rPr>
        <w:t>10</w:t>
      </w:r>
      <w:r>
        <w:rPr>
          <w:rStyle w:val="76"/>
          <w:rFonts w:hint="eastAsia" w:ascii="宋体" w:hAnsi="宋体"/>
        </w:rPr>
        <w:t>、特殊说明：</w:t>
      </w:r>
      <w:r>
        <w:tab/>
      </w:r>
      <w:r>
        <w:fldChar w:fldCharType="begin"/>
      </w:r>
      <w:r>
        <w:instrText xml:space="preserve"> PAGEREF _Toc31791903 \h </w:instrText>
      </w:r>
      <w:r>
        <w:fldChar w:fldCharType="separate"/>
      </w:r>
      <w:r>
        <w:t>53</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"_Toc31791904" </w:instrText>
      </w:r>
      <w:r>
        <w:fldChar w:fldCharType="separate"/>
      </w:r>
      <w:r>
        <w:rPr>
          <w:rStyle w:val="76"/>
          <w:rFonts w:ascii="宋体" w:hAnsi="宋体"/>
        </w:rPr>
        <w:t>11</w:t>
      </w:r>
      <w:r>
        <w:rPr>
          <w:rStyle w:val="76"/>
          <w:rFonts w:hint="eastAsia" w:ascii="宋体" w:hAnsi="宋体"/>
        </w:rPr>
        <w:t>、供货范围</w:t>
      </w:r>
      <w:r>
        <w:tab/>
      </w:r>
      <w:r>
        <w:fldChar w:fldCharType="begin"/>
      </w:r>
      <w:r>
        <w:instrText xml:space="preserve"> PAGEREF _Toc31791904 \h </w:instrText>
      </w:r>
      <w:r>
        <w:fldChar w:fldCharType="separate"/>
      </w:r>
      <w:r>
        <w:t>53</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"_Toc31791905" </w:instrText>
      </w:r>
      <w:r>
        <w:fldChar w:fldCharType="separate"/>
      </w:r>
      <w:r>
        <w:rPr>
          <w:rStyle w:val="76"/>
          <w:rFonts w:ascii="宋体" w:hAnsi="宋体"/>
        </w:rPr>
        <w:t xml:space="preserve">12 </w:t>
      </w:r>
      <w:r>
        <w:rPr>
          <w:rStyle w:val="76"/>
          <w:rFonts w:hint="eastAsia" w:ascii="宋体" w:hAnsi="宋体"/>
        </w:rPr>
        <w:t>附图</w:t>
      </w:r>
      <w:r>
        <w:tab/>
      </w:r>
      <w:r>
        <w:fldChar w:fldCharType="begin"/>
      </w:r>
      <w:r>
        <w:instrText xml:space="preserve"> PAGEREF _Toc31791905 \h </w:instrText>
      </w:r>
      <w:r>
        <w:fldChar w:fldCharType="separate"/>
      </w:r>
      <w:r>
        <w:t>54</w:t>
      </w:r>
      <w:r>
        <w:fldChar w:fldCharType="end"/>
      </w:r>
      <w:r>
        <w:fldChar w:fldCharType="end"/>
      </w:r>
    </w:p>
    <w:p>
      <w:pPr>
        <w:pStyle w:val="55"/>
        <w:tabs>
          <w:tab w:val="right" w:leader="dot" w:pos="9396"/>
        </w:tabs>
        <w:rPr>
          <w:rFonts w:asciiTheme="minorHAnsi" w:hAnsiTheme="minorHAnsi" w:eastAsiaTheme="minorEastAsia" w:cstheme="minorBidi"/>
          <w:szCs w:val="22"/>
        </w:rPr>
      </w:pPr>
      <w:r>
        <w:fldChar w:fldCharType="begin"/>
      </w:r>
      <w:r>
        <w:instrText xml:space="preserve"> HYPERLINK \l "_Toc31791906" </w:instrText>
      </w:r>
      <w:r>
        <w:fldChar w:fldCharType="separate"/>
      </w:r>
      <w:r>
        <w:rPr>
          <w:rStyle w:val="76"/>
          <w:rFonts w:hint="eastAsia" w:ascii="宋体" w:hAnsi="宋体"/>
        </w:rPr>
        <w:t>三、</w:t>
      </w:r>
      <w:r>
        <w:rPr>
          <w:rStyle w:val="76"/>
          <w:rFonts w:ascii="宋体" w:hAnsi="宋体"/>
        </w:rPr>
        <w:t>10kV</w:t>
      </w:r>
      <w:r>
        <w:rPr>
          <w:rStyle w:val="76"/>
          <w:rFonts w:hint="eastAsia" w:ascii="宋体" w:hAnsi="宋体"/>
        </w:rPr>
        <w:t>户外设备</w:t>
      </w:r>
      <w:r>
        <w:tab/>
      </w:r>
      <w:r>
        <w:fldChar w:fldCharType="begin"/>
      </w:r>
      <w:r>
        <w:instrText xml:space="preserve"> PAGEREF _Toc31791906 \h </w:instrText>
      </w:r>
      <w:r>
        <w:fldChar w:fldCharType="separate"/>
      </w:r>
      <w:r>
        <w:t>54</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"_Toc31791907" </w:instrText>
      </w:r>
      <w:r>
        <w:fldChar w:fldCharType="separate"/>
      </w:r>
      <w:r>
        <w:rPr>
          <w:rStyle w:val="76"/>
          <w:rFonts w:ascii="宋体" w:hAnsi="宋体"/>
        </w:rPr>
        <w:t xml:space="preserve">1.  </w:t>
      </w:r>
      <w:r>
        <w:rPr>
          <w:rStyle w:val="76"/>
          <w:rFonts w:hint="eastAsia" w:ascii="宋体" w:hAnsi="宋体"/>
        </w:rPr>
        <w:t>总则</w:t>
      </w:r>
      <w:r>
        <w:tab/>
      </w:r>
      <w:r>
        <w:fldChar w:fldCharType="begin"/>
      </w:r>
      <w:r>
        <w:instrText xml:space="preserve"> PAGEREF _Toc31791907 \h </w:instrText>
      </w:r>
      <w:r>
        <w:fldChar w:fldCharType="separate"/>
      </w:r>
      <w:r>
        <w:t>54</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"_Toc31791908" </w:instrText>
      </w:r>
      <w:r>
        <w:fldChar w:fldCharType="separate"/>
      </w:r>
      <w:r>
        <w:rPr>
          <w:rStyle w:val="76"/>
          <w:rFonts w:ascii="宋体" w:hAnsi="宋体"/>
        </w:rPr>
        <w:t>2.</w:t>
      </w:r>
      <w:r>
        <w:rPr>
          <w:rStyle w:val="76"/>
          <w:rFonts w:hint="eastAsia" w:ascii="宋体" w:hAnsi="宋体"/>
        </w:rPr>
        <w:t>符号和标准</w:t>
      </w:r>
      <w:r>
        <w:tab/>
      </w:r>
      <w:r>
        <w:fldChar w:fldCharType="begin"/>
      </w:r>
      <w:r>
        <w:instrText xml:space="preserve"> PAGEREF _Toc31791908 \h </w:instrText>
      </w:r>
      <w:r>
        <w:fldChar w:fldCharType="separate"/>
      </w:r>
      <w:r>
        <w:t>54</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"_Toc31791909" </w:instrText>
      </w:r>
      <w:r>
        <w:fldChar w:fldCharType="separate"/>
      </w:r>
      <w:r>
        <w:rPr>
          <w:rStyle w:val="76"/>
          <w:rFonts w:ascii="宋体" w:hAnsi="宋体"/>
        </w:rPr>
        <w:t xml:space="preserve">3 </w:t>
      </w:r>
      <w:r>
        <w:rPr>
          <w:rStyle w:val="76"/>
          <w:rFonts w:hint="eastAsia" w:ascii="宋体" w:hAnsi="宋体"/>
        </w:rPr>
        <w:t>环境条件</w:t>
      </w:r>
      <w:r>
        <w:tab/>
      </w:r>
      <w:r>
        <w:fldChar w:fldCharType="begin"/>
      </w:r>
      <w:r>
        <w:instrText xml:space="preserve"> PAGEREF _Toc31791909 \h </w:instrText>
      </w:r>
      <w:r>
        <w:fldChar w:fldCharType="separate"/>
      </w:r>
      <w:r>
        <w:t>55</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"_Toc31791910" </w:instrText>
      </w:r>
      <w:r>
        <w:fldChar w:fldCharType="separate"/>
      </w:r>
      <w:r>
        <w:rPr>
          <w:rStyle w:val="76"/>
          <w:rFonts w:ascii="宋体" w:hAnsi="宋体"/>
        </w:rPr>
        <w:t xml:space="preserve">4 </w:t>
      </w:r>
      <w:r>
        <w:rPr>
          <w:rStyle w:val="76"/>
          <w:rFonts w:hint="eastAsia" w:ascii="宋体" w:hAnsi="宋体"/>
        </w:rPr>
        <w:t>产品</w:t>
      </w:r>
      <w:r>
        <w:tab/>
      </w:r>
      <w:r>
        <w:fldChar w:fldCharType="begin"/>
      </w:r>
      <w:r>
        <w:instrText xml:space="preserve"> PAGEREF _Toc31791910 \h </w:instrText>
      </w:r>
      <w:r>
        <w:fldChar w:fldCharType="separate"/>
      </w:r>
      <w:r>
        <w:t>56</w:t>
      </w:r>
      <w:r>
        <w:fldChar w:fldCharType="end"/>
      </w:r>
      <w:r>
        <w:fldChar w:fldCharType="end"/>
      </w:r>
    </w:p>
    <w:p>
      <w:pPr>
        <w:pStyle w:val="55"/>
        <w:tabs>
          <w:tab w:val="right" w:leader="dot" w:pos="9396"/>
        </w:tabs>
        <w:rPr>
          <w:rFonts w:asciiTheme="minorHAnsi" w:hAnsiTheme="minorHAnsi" w:eastAsiaTheme="minorEastAsia" w:cstheme="minorBidi"/>
          <w:szCs w:val="22"/>
        </w:rPr>
      </w:pPr>
      <w:r>
        <w:fldChar w:fldCharType="begin"/>
      </w:r>
      <w:r>
        <w:instrText xml:space="preserve"> HYPERLINK \l "_Toc31791911" </w:instrText>
      </w:r>
      <w:r>
        <w:fldChar w:fldCharType="separate"/>
      </w:r>
      <w:r>
        <w:rPr>
          <w:rStyle w:val="76"/>
          <w:rFonts w:hint="eastAsia" w:ascii="宋体" w:hAnsi="宋体"/>
        </w:rPr>
        <w:t>四</w:t>
      </w:r>
      <w:r>
        <w:rPr>
          <w:rStyle w:val="76"/>
          <w:rFonts w:ascii="宋体" w:hAnsi="宋体"/>
        </w:rPr>
        <w:t xml:space="preserve">  </w:t>
      </w:r>
      <w:r>
        <w:rPr>
          <w:rStyle w:val="76"/>
          <w:rFonts w:hint="eastAsia" w:ascii="宋体" w:hAnsi="宋体"/>
        </w:rPr>
        <w:t>视频及通信设备</w:t>
      </w:r>
      <w:r>
        <w:tab/>
      </w:r>
      <w:r>
        <w:fldChar w:fldCharType="begin"/>
      </w:r>
      <w:r>
        <w:instrText xml:space="preserve"> PAGEREF _Toc31791911 \h </w:instrText>
      </w:r>
      <w:r>
        <w:fldChar w:fldCharType="separate"/>
      </w:r>
      <w:r>
        <w:t>57</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"_Toc31791912" </w:instrText>
      </w:r>
      <w:r>
        <w:fldChar w:fldCharType="separate"/>
      </w:r>
      <w:r>
        <w:rPr>
          <w:rStyle w:val="76"/>
          <w:rFonts w:ascii="宋体" w:hAnsi="宋体"/>
          <w:snapToGrid w:val="0"/>
          <w:kern w:val="0"/>
        </w:rPr>
        <w:t xml:space="preserve">1  </w:t>
      </w:r>
      <w:r>
        <w:rPr>
          <w:rStyle w:val="76"/>
          <w:rFonts w:hint="eastAsia" w:ascii="宋体" w:hAnsi="宋体"/>
          <w:snapToGrid w:val="0"/>
          <w:kern w:val="0"/>
        </w:rPr>
        <w:t>视频设备</w:t>
      </w:r>
      <w:r>
        <w:tab/>
      </w:r>
      <w:r>
        <w:fldChar w:fldCharType="begin"/>
      </w:r>
      <w:r>
        <w:instrText xml:space="preserve"> PAGEREF _Toc31791912 \h </w:instrText>
      </w:r>
      <w:r>
        <w:fldChar w:fldCharType="separate"/>
      </w:r>
      <w:r>
        <w:t>57</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"_Toc31791913" </w:instrText>
      </w:r>
      <w:r>
        <w:fldChar w:fldCharType="separate"/>
      </w:r>
      <w:r>
        <w:rPr>
          <w:rStyle w:val="76"/>
          <w:rFonts w:ascii="宋体" w:hAnsi="宋体"/>
          <w:snapToGrid w:val="0"/>
          <w:kern w:val="0"/>
        </w:rPr>
        <w:t xml:space="preserve">1.2.2  </w:t>
      </w:r>
      <w:r>
        <w:rPr>
          <w:rStyle w:val="76"/>
          <w:rFonts w:hint="eastAsia" w:ascii="宋体" w:hAnsi="宋体"/>
          <w:snapToGrid w:val="0"/>
          <w:kern w:val="0"/>
        </w:rPr>
        <w:t>专用工器具</w:t>
      </w:r>
      <w:r>
        <w:tab/>
      </w:r>
      <w:r>
        <w:fldChar w:fldCharType="begin"/>
      </w:r>
      <w:r>
        <w:instrText xml:space="preserve"> PAGEREF _Toc31791913 \h </w:instrText>
      </w:r>
      <w:r>
        <w:fldChar w:fldCharType="separate"/>
      </w:r>
      <w:r>
        <w:t>58</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"_Toc31791914" </w:instrText>
      </w:r>
      <w:r>
        <w:fldChar w:fldCharType="separate"/>
      </w:r>
      <w:r>
        <w:rPr>
          <w:rStyle w:val="76"/>
          <w:rFonts w:ascii="宋体" w:hAnsi="宋体"/>
          <w:snapToGrid w:val="0"/>
          <w:kern w:val="0"/>
        </w:rPr>
        <w:t xml:space="preserve">1.7.1  </w:t>
      </w:r>
      <w:r>
        <w:rPr>
          <w:rStyle w:val="76"/>
          <w:rFonts w:hint="eastAsia" w:ascii="宋体" w:hAnsi="宋体"/>
          <w:snapToGrid w:val="0"/>
          <w:kern w:val="0"/>
        </w:rPr>
        <w:t>工厂图纸</w:t>
      </w:r>
      <w:r>
        <w:tab/>
      </w:r>
      <w:r>
        <w:fldChar w:fldCharType="begin"/>
      </w:r>
      <w:r>
        <w:instrText xml:space="preserve"> PAGEREF _Toc31791914 \h </w:instrText>
      </w:r>
      <w:r>
        <w:fldChar w:fldCharType="separate"/>
      </w:r>
      <w:r>
        <w:t>61</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"_Toc31791915" </w:instrText>
      </w:r>
      <w:r>
        <w:fldChar w:fldCharType="separate"/>
      </w:r>
      <w:r>
        <w:rPr>
          <w:rStyle w:val="76"/>
          <w:rFonts w:ascii="宋体" w:hAnsi="宋体"/>
          <w:snapToGrid w:val="0"/>
          <w:kern w:val="0"/>
        </w:rPr>
        <w:t xml:space="preserve">1.7.2  </w:t>
      </w:r>
      <w:r>
        <w:rPr>
          <w:rStyle w:val="76"/>
          <w:rFonts w:hint="eastAsia" w:ascii="宋体" w:hAnsi="宋体"/>
          <w:snapToGrid w:val="0"/>
          <w:kern w:val="0"/>
        </w:rPr>
        <w:t>安装、运行和维护说明书</w:t>
      </w:r>
      <w:r>
        <w:tab/>
      </w:r>
      <w:r>
        <w:fldChar w:fldCharType="begin"/>
      </w:r>
      <w:r>
        <w:instrText xml:space="preserve"> PAGEREF _Toc31791915 \h </w:instrText>
      </w:r>
      <w:r>
        <w:fldChar w:fldCharType="separate"/>
      </w:r>
      <w:r>
        <w:t>62</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"_Toc31791916" </w:instrText>
      </w:r>
      <w:r>
        <w:fldChar w:fldCharType="separate"/>
      </w:r>
      <w:r>
        <w:rPr>
          <w:rStyle w:val="76"/>
          <w:rFonts w:ascii="宋体" w:hAnsi="宋体"/>
          <w:snapToGrid w:val="0"/>
          <w:kern w:val="0"/>
        </w:rPr>
        <w:t xml:space="preserve">1.7.3  </w:t>
      </w:r>
      <w:r>
        <w:rPr>
          <w:rStyle w:val="76"/>
          <w:rFonts w:hint="eastAsia" w:ascii="宋体" w:hAnsi="宋体"/>
          <w:snapToGrid w:val="0"/>
          <w:kern w:val="0"/>
        </w:rPr>
        <w:t>图纸和文件提交时间表</w:t>
      </w:r>
      <w:r>
        <w:tab/>
      </w:r>
      <w:r>
        <w:fldChar w:fldCharType="begin"/>
      </w:r>
      <w:r>
        <w:instrText xml:space="preserve"> PAGEREF _Toc31791916 \h </w:instrText>
      </w:r>
      <w:r>
        <w:fldChar w:fldCharType="separate"/>
      </w:r>
      <w:r>
        <w:t>63</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"_Toc31791917" </w:instrText>
      </w:r>
      <w:r>
        <w:fldChar w:fldCharType="separate"/>
      </w:r>
      <w:r>
        <w:rPr>
          <w:rStyle w:val="76"/>
          <w:rFonts w:ascii="宋体" w:hAnsi="宋体"/>
          <w:snapToGrid w:val="0"/>
          <w:kern w:val="0"/>
        </w:rPr>
        <w:t xml:space="preserve">1.7.4  </w:t>
      </w:r>
      <w:r>
        <w:rPr>
          <w:rStyle w:val="76"/>
          <w:rFonts w:hint="eastAsia" w:ascii="宋体" w:hAnsi="宋体"/>
          <w:snapToGrid w:val="0"/>
          <w:kern w:val="0"/>
        </w:rPr>
        <w:t>图纸和文件的审批</w:t>
      </w:r>
      <w:r>
        <w:tab/>
      </w:r>
      <w:r>
        <w:fldChar w:fldCharType="begin"/>
      </w:r>
      <w:r>
        <w:instrText xml:space="preserve"> PAGEREF _Toc31791917 \h </w:instrText>
      </w:r>
      <w:r>
        <w:fldChar w:fldCharType="separate"/>
      </w:r>
      <w:r>
        <w:t>63</w:t>
      </w:r>
      <w:r>
        <w:fldChar w:fldCharType="end"/>
      </w:r>
      <w:r>
        <w:fldChar w:fldCharType="end"/>
      </w:r>
    </w:p>
    <w:p>
      <w:pPr>
        <w:pStyle w:val="55"/>
        <w:tabs>
          <w:tab w:val="right" w:leader="dot" w:pos="9396"/>
        </w:tabs>
        <w:rPr>
          <w:rFonts w:asciiTheme="minorHAnsi" w:hAnsiTheme="minorHAnsi" w:eastAsiaTheme="minorEastAsia" w:cstheme="minorBidi"/>
          <w:szCs w:val="22"/>
        </w:rPr>
      </w:pPr>
      <w:r>
        <w:fldChar w:fldCharType="begin"/>
      </w:r>
      <w:r>
        <w:instrText xml:space="preserve"> HYPERLINK \l "_Toc31791918" </w:instrText>
      </w:r>
      <w:r>
        <w:fldChar w:fldCharType="separate"/>
      </w:r>
      <w:r>
        <w:rPr>
          <w:rStyle w:val="76"/>
          <w:rFonts w:ascii="宋体" w:hAnsi="宋体"/>
          <w:snapToGrid w:val="0"/>
          <w:kern w:val="0"/>
        </w:rPr>
        <w:t xml:space="preserve">1.8  </w:t>
      </w:r>
      <w:r>
        <w:rPr>
          <w:rStyle w:val="76"/>
          <w:rFonts w:hint="eastAsia" w:ascii="宋体" w:hAnsi="宋体"/>
          <w:snapToGrid w:val="0"/>
          <w:kern w:val="0"/>
        </w:rPr>
        <w:t>工厂试验</w:t>
      </w:r>
      <w:r>
        <w:tab/>
      </w:r>
      <w:r>
        <w:fldChar w:fldCharType="begin"/>
      </w:r>
      <w:r>
        <w:instrText xml:space="preserve"> PAGEREF _Toc31791918 \h </w:instrText>
      </w:r>
      <w:r>
        <w:fldChar w:fldCharType="separate"/>
      </w:r>
      <w:r>
        <w:t>64</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"_Toc31791919" </w:instrText>
      </w:r>
      <w:r>
        <w:fldChar w:fldCharType="separate"/>
      </w:r>
      <w:r>
        <w:rPr>
          <w:rStyle w:val="76"/>
          <w:rFonts w:ascii="宋体" w:hAnsi="宋体"/>
          <w:snapToGrid w:val="0"/>
          <w:kern w:val="0"/>
        </w:rPr>
        <w:t xml:space="preserve">1.8.1  </w:t>
      </w:r>
      <w:r>
        <w:rPr>
          <w:rStyle w:val="76"/>
          <w:rFonts w:hint="eastAsia" w:ascii="宋体" w:hAnsi="宋体"/>
          <w:snapToGrid w:val="0"/>
          <w:kern w:val="0"/>
        </w:rPr>
        <w:t>概述</w:t>
      </w:r>
      <w:r>
        <w:tab/>
      </w:r>
      <w:r>
        <w:fldChar w:fldCharType="begin"/>
      </w:r>
      <w:r>
        <w:instrText xml:space="preserve"> PAGEREF _Toc31791919 \h </w:instrText>
      </w:r>
      <w:r>
        <w:fldChar w:fldCharType="separate"/>
      </w:r>
      <w:r>
        <w:t>64</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"_Toc31791920" </w:instrText>
      </w:r>
      <w:r>
        <w:fldChar w:fldCharType="separate"/>
      </w:r>
      <w:r>
        <w:rPr>
          <w:rStyle w:val="76"/>
          <w:rFonts w:ascii="宋体" w:hAnsi="宋体"/>
          <w:snapToGrid w:val="0"/>
          <w:kern w:val="0"/>
        </w:rPr>
        <w:t xml:space="preserve">1.8.2  </w:t>
      </w:r>
      <w:r>
        <w:rPr>
          <w:rStyle w:val="76"/>
          <w:rFonts w:hint="eastAsia" w:ascii="宋体" w:hAnsi="宋体"/>
          <w:snapToGrid w:val="0"/>
          <w:kern w:val="0"/>
        </w:rPr>
        <w:t>工厂试验内容</w:t>
      </w:r>
      <w:r>
        <w:tab/>
      </w:r>
      <w:r>
        <w:fldChar w:fldCharType="begin"/>
      </w:r>
      <w:r>
        <w:instrText xml:space="preserve"> PAGEREF _Toc31791920 \h </w:instrText>
      </w:r>
      <w:r>
        <w:fldChar w:fldCharType="separate"/>
      </w:r>
      <w:r>
        <w:t>64</w:t>
      </w:r>
      <w:r>
        <w:fldChar w:fldCharType="end"/>
      </w:r>
      <w:r>
        <w:fldChar w:fldCharType="end"/>
      </w:r>
    </w:p>
    <w:p>
      <w:pPr>
        <w:pStyle w:val="55"/>
        <w:tabs>
          <w:tab w:val="right" w:leader="dot" w:pos="9396"/>
        </w:tabs>
        <w:rPr>
          <w:rFonts w:asciiTheme="minorHAnsi" w:hAnsiTheme="minorHAnsi" w:eastAsiaTheme="minorEastAsia" w:cstheme="minorBidi"/>
          <w:szCs w:val="22"/>
        </w:rPr>
      </w:pPr>
      <w:r>
        <w:fldChar w:fldCharType="begin"/>
      </w:r>
      <w:r>
        <w:instrText xml:space="preserve"> HYPERLINK \l "_Toc31791921" </w:instrText>
      </w:r>
      <w:r>
        <w:fldChar w:fldCharType="separate"/>
      </w:r>
      <w:r>
        <w:rPr>
          <w:rStyle w:val="76"/>
          <w:rFonts w:ascii="宋体" w:hAnsi="宋体"/>
          <w:snapToGrid w:val="0"/>
          <w:kern w:val="0"/>
        </w:rPr>
        <w:t xml:space="preserve">1.9  </w:t>
      </w:r>
      <w:r>
        <w:rPr>
          <w:rStyle w:val="76"/>
          <w:rFonts w:hint="eastAsia" w:ascii="宋体" w:hAnsi="宋体"/>
          <w:snapToGrid w:val="0"/>
          <w:kern w:val="0"/>
        </w:rPr>
        <w:t>现场试验和验收</w:t>
      </w:r>
      <w:r>
        <w:tab/>
      </w:r>
      <w:r>
        <w:fldChar w:fldCharType="begin"/>
      </w:r>
      <w:r>
        <w:instrText xml:space="preserve"> PAGEREF _Toc31791921 \h </w:instrText>
      </w:r>
      <w:r>
        <w:fldChar w:fldCharType="separate"/>
      </w:r>
      <w:r>
        <w:t>65</w:t>
      </w:r>
      <w:r>
        <w:fldChar w:fldCharType="end"/>
      </w:r>
      <w:r>
        <w:fldChar w:fldCharType="end"/>
      </w:r>
    </w:p>
    <w:p>
      <w:pPr>
        <w:pStyle w:val="55"/>
        <w:tabs>
          <w:tab w:val="right" w:leader="dot" w:pos="9396"/>
        </w:tabs>
        <w:rPr>
          <w:rFonts w:asciiTheme="minorHAnsi" w:hAnsiTheme="minorHAnsi" w:eastAsiaTheme="minorEastAsia" w:cstheme="minorBidi"/>
          <w:szCs w:val="22"/>
        </w:rPr>
      </w:pPr>
      <w:r>
        <w:fldChar w:fldCharType="begin"/>
      </w:r>
      <w:r>
        <w:instrText xml:space="preserve"> HYPERLINK \l "_Toc31791922" </w:instrText>
      </w:r>
      <w:r>
        <w:fldChar w:fldCharType="separate"/>
      </w:r>
      <w:r>
        <w:rPr>
          <w:rStyle w:val="76"/>
          <w:rFonts w:ascii="宋体" w:hAnsi="宋体"/>
          <w:snapToGrid w:val="0"/>
          <w:kern w:val="0"/>
        </w:rPr>
        <w:t xml:space="preserve">1.10  </w:t>
      </w:r>
      <w:r>
        <w:rPr>
          <w:rStyle w:val="76"/>
          <w:rFonts w:hint="eastAsia" w:ascii="宋体" w:hAnsi="宋体"/>
          <w:snapToGrid w:val="0"/>
          <w:kern w:val="0"/>
        </w:rPr>
        <w:t>技术服务</w:t>
      </w:r>
      <w:r>
        <w:tab/>
      </w:r>
      <w:r>
        <w:fldChar w:fldCharType="begin"/>
      </w:r>
      <w:r>
        <w:instrText xml:space="preserve"> PAGEREF _Toc31791922 \h </w:instrText>
      </w:r>
      <w:r>
        <w:fldChar w:fldCharType="separate"/>
      </w:r>
      <w:r>
        <w:t>65</w:t>
      </w:r>
      <w:r>
        <w:fldChar w:fldCharType="end"/>
      </w:r>
      <w:r>
        <w:fldChar w:fldCharType="end"/>
      </w:r>
    </w:p>
    <w:p>
      <w:pPr>
        <w:pStyle w:val="55"/>
        <w:tabs>
          <w:tab w:val="right" w:leader="dot" w:pos="9396"/>
        </w:tabs>
        <w:rPr>
          <w:rFonts w:asciiTheme="minorHAnsi" w:hAnsiTheme="minorHAnsi" w:eastAsiaTheme="minorEastAsia" w:cstheme="minorBidi"/>
          <w:szCs w:val="22"/>
        </w:rPr>
      </w:pPr>
      <w:r>
        <w:fldChar w:fldCharType="begin"/>
      </w:r>
      <w:r>
        <w:instrText xml:space="preserve"> HYPERLINK \l "_Toc31791923" </w:instrText>
      </w:r>
      <w:r>
        <w:fldChar w:fldCharType="separate"/>
      </w:r>
      <w:r>
        <w:rPr>
          <w:rStyle w:val="76"/>
          <w:rFonts w:ascii="宋体" w:hAnsi="宋体"/>
          <w:snapToGrid w:val="0"/>
          <w:kern w:val="0"/>
        </w:rPr>
        <w:t xml:space="preserve">1.11  </w:t>
      </w:r>
      <w:r>
        <w:rPr>
          <w:rStyle w:val="76"/>
          <w:rFonts w:hint="eastAsia" w:ascii="宋体" w:hAnsi="宋体"/>
          <w:snapToGrid w:val="0"/>
          <w:kern w:val="0"/>
        </w:rPr>
        <w:t>设计联络会</w:t>
      </w:r>
      <w:r>
        <w:tab/>
      </w:r>
      <w:r>
        <w:fldChar w:fldCharType="begin"/>
      </w:r>
      <w:r>
        <w:instrText xml:space="preserve"> PAGEREF _Toc31791923 \h </w:instrText>
      </w:r>
      <w:r>
        <w:fldChar w:fldCharType="separate"/>
      </w:r>
      <w:r>
        <w:t>66</w:t>
      </w:r>
      <w:r>
        <w:fldChar w:fldCharType="end"/>
      </w:r>
      <w:r>
        <w:fldChar w:fldCharType="end"/>
      </w:r>
    </w:p>
    <w:p>
      <w:pPr>
        <w:pStyle w:val="55"/>
        <w:tabs>
          <w:tab w:val="right" w:leader="dot" w:pos="9396"/>
        </w:tabs>
        <w:rPr>
          <w:rFonts w:asciiTheme="minorHAnsi" w:hAnsiTheme="minorHAnsi" w:eastAsiaTheme="minorEastAsia" w:cstheme="minorBidi"/>
          <w:szCs w:val="22"/>
        </w:rPr>
      </w:pPr>
      <w:r>
        <w:fldChar w:fldCharType="begin"/>
      </w:r>
      <w:r>
        <w:instrText xml:space="preserve"> HYPERLINK \l "_Toc31791924" </w:instrText>
      </w:r>
      <w:r>
        <w:fldChar w:fldCharType="separate"/>
      </w:r>
      <w:r>
        <w:rPr>
          <w:rStyle w:val="76"/>
          <w:rFonts w:ascii="宋体" w:hAnsi="宋体"/>
          <w:snapToGrid w:val="0"/>
          <w:kern w:val="0"/>
        </w:rPr>
        <w:t xml:space="preserve">1.12  </w:t>
      </w:r>
      <w:r>
        <w:rPr>
          <w:rStyle w:val="76"/>
          <w:rFonts w:hint="eastAsia" w:ascii="宋体" w:hAnsi="宋体"/>
          <w:snapToGrid w:val="0"/>
          <w:kern w:val="0"/>
        </w:rPr>
        <w:t>协调</w:t>
      </w:r>
      <w:r>
        <w:tab/>
      </w:r>
      <w:r>
        <w:fldChar w:fldCharType="begin"/>
      </w:r>
      <w:r>
        <w:instrText xml:space="preserve"> PAGEREF _Toc31791924 \h </w:instrText>
      </w:r>
      <w:r>
        <w:fldChar w:fldCharType="separate"/>
      </w:r>
      <w:r>
        <w:t>66</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"_Toc31791925" </w:instrText>
      </w:r>
      <w:r>
        <w:fldChar w:fldCharType="separate"/>
      </w:r>
      <w:r>
        <w:rPr>
          <w:rStyle w:val="76"/>
          <w:rFonts w:ascii="宋体" w:hAnsi="宋体"/>
          <w:snapToGrid w:val="0"/>
          <w:kern w:val="0"/>
        </w:rPr>
        <w:t xml:space="preserve">2  </w:t>
      </w:r>
      <w:r>
        <w:rPr>
          <w:rStyle w:val="76"/>
          <w:rFonts w:hint="eastAsia" w:ascii="宋体" w:hAnsi="宋体"/>
          <w:snapToGrid w:val="0"/>
          <w:kern w:val="0"/>
        </w:rPr>
        <w:t>视频系统专用技术规范</w:t>
      </w:r>
      <w:r>
        <w:tab/>
      </w:r>
      <w:r>
        <w:fldChar w:fldCharType="begin"/>
      </w:r>
      <w:r>
        <w:instrText xml:space="preserve"> PAGEREF _Toc31791925 \h </w:instrText>
      </w:r>
      <w:r>
        <w:fldChar w:fldCharType="separate"/>
      </w:r>
      <w:r>
        <w:t>67</w:t>
      </w:r>
      <w:r>
        <w:fldChar w:fldCharType="end"/>
      </w:r>
      <w:r>
        <w:fldChar w:fldCharType="end"/>
      </w:r>
    </w:p>
    <w:p>
      <w:pPr>
        <w:pStyle w:val="55"/>
        <w:tabs>
          <w:tab w:val="right" w:leader="dot" w:pos="9396"/>
        </w:tabs>
        <w:rPr>
          <w:rFonts w:asciiTheme="minorHAnsi" w:hAnsiTheme="minorHAnsi" w:eastAsiaTheme="minorEastAsia" w:cstheme="minorBidi"/>
          <w:szCs w:val="22"/>
        </w:rPr>
      </w:pPr>
      <w:r>
        <w:fldChar w:fldCharType="begin"/>
      </w:r>
      <w:r>
        <w:instrText xml:space="preserve"> HYPERLINK \l "_Toc31791926" </w:instrText>
      </w:r>
      <w:r>
        <w:fldChar w:fldCharType="separate"/>
      </w:r>
      <w:r>
        <w:rPr>
          <w:rStyle w:val="76"/>
          <w:rFonts w:ascii="宋体" w:hAnsi="宋体"/>
          <w:snapToGrid w:val="0"/>
          <w:kern w:val="0"/>
        </w:rPr>
        <w:t xml:space="preserve">2.1  </w:t>
      </w:r>
      <w:r>
        <w:rPr>
          <w:rStyle w:val="76"/>
          <w:rFonts w:hint="eastAsia" w:ascii="宋体" w:hAnsi="宋体"/>
          <w:snapToGrid w:val="0"/>
          <w:kern w:val="0"/>
        </w:rPr>
        <w:t>视频监视系统</w:t>
      </w:r>
      <w:r>
        <w:tab/>
      </w:r>
      <w:r>
        <w:fldChar w:fldCharType="begin"/>
      </w:r>
      <w:r>
        <w:instrText xml:space="preserve"> PAGEREF _Toc31791926 \h </w:instrText>
      </w:r>
      <w:r>
        <w:fldChar w:fldCharType="separate"/>
      </w:r>
      <w:r>
        <w:t>67</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"_Toc31791927" </w:instrText>
      </w:r>
      <w:r>
        <w:fldChar w:fldCharType="separate"/>
      </w:r>
      <w:r>
        <w:rPr>
          <w:rStyle w:val="76"/>
          <w:rFonts w:ascii="宋体" w:hAnsi="宋体"/>
          <w:snapToGrid w:val="0"/>
          <w:kern w:val="0"/>
        </w:rPr>
        <w:t xml:space="preserve">2.1.1  </w:t>
      </w:r>
      <w:r>
        <w:rPr>
          <w:rStyle w:val="76"/>
          <w:rFonts w:hint="eastAsia" w:ascii="宋体" w:hAnsi="宋体"/>
          <w:snapToGrid w:val="0"/>
          <w:kern w:val="0"/>
        </w:rPr>
        <w:t>系统功能要求</w:t>
      </w:r>
      <w:r>
        <w:tab/>
      </w:r>
      <w:r>
        <w:fldChar w:fldCharType="begin"/>
      </w:r>
      <w:r>
        <w:instrText xml:space="preserve"> PAGEREF _Toc31791927 \h </w:instrText>
      </w:r>
      <w:r>
        <w:fldChar w:fldCharType="separate"/>
      </w:r>
      <w:r>
        <w:t>67</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"_Toc31791928" </w:instrText>
      </w:r>
      <w:r>
        <w:fldChar w:fldCharType="separate"/>
      </w:r>
      <w:r>
        <w:rPr>
          <w:rStyle w:val="76"/>
          <w:rFonts w:ascii="宋体" w:hAnsi="宋体"/>
          <w:snapToGrid w:val="0"/>
          <w:kern w:val="0"/>
        </w:rPr>
        <w:t xml:space="preserve">2.1.2  </w:t>
      </w:r>
      <w:r>
        <w:rPr>
          <w:rStyle w:val="76"/>
          <w:rFonts w:hint="eastAsia" w:ascii="宋体" w:hAnsi="宋体"/>
          <w:snapToGrid w:val="0"/>
          <w:kern w:val="0"/>
        </w:rPr>
        <w:t>硬盘录像机</w:t>
      </w:r>
      <w:r>
        <w:tab/>
      </w:r>
      <w:r>
        <w:fldChar w:fldCharType="begin"/>
      </w:r>
      <w:r>
        <w:instrText xml:space="preserve"> PAGEREF _Toc31791928 \h </w:instrText>
      </w:r>
      <w:r>
        <w:fldChar w:fldCharType="separate"/>
      </w:r>
      <w:r>
        <w:t>71</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"_Toc31791929" </w:instrText>
      </w:r>
      <w:r>
        <w:fldChar w:fldCharType="separate"/>
      </w:r>
      <w:r>
        <w:rPr>
          <w:rStyle w:val="76"/>
          <w:rFonts w:ascii="宋体" w:hAnsi="宋体"/>
          <w:snapToGrid w:val="0"/>
          <w:kern w:val="0"/>
        </w:rPr>
        <w:t xml:space="preserve">2.1.3  </w:t>
      </w:r>
      <w:r>
        <w:rPr>
          <w:rStyle w:val="76"/>
          <w:rFonts w:hint="eastAsia" w:ascii="宋体" w:hAnsi="宋体"/>
          <w:snapToGrid w:val="0"/>
          <w:kern w:val="0"/>
        </w:rPr>
        <w:t>摄像机</w:t>
      </w:r>
      <w:r>
        <w:tab/>
      </w:r>
      <w:r>
        <w:fldChar w:fldCharType="begin"/>
      </w:r>
      <w:r>
        <w:instrText xml:space="preserve"> PAGEREF _Toc31791929 \h </w:instrText>
      </w:r>
      <w:r>
        <w:fldChar w:fldCharType="separate"/>
      </w:r>
      <w:r>
        <w:t>71</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"_Toc31791930" </w:instrText>
      </w:r>
      <w:r>
        <w:fldChar w:fldCharType="separate"/>
      </w:r>
      <w:r>
        <w:rPr>
          <w:rStyle w:val="76"/>
          <w:rFonts w:ascii="宋体" w:hAnsi="宋体"/>
          <w:snapToGrid w:val="0"/>
          <w:kern w:val="0"/>
        </w:rPr>
        <w:t xml:space="preserve">2.1.4  </w:t>
      </w:r>
      <w:r>
        <w:rPr>
          <w:rStyle w:val="76"/>
          <w:rFonts w:hint="eastAsia" w:ascii="宋体" w:hAnsi="宋体"/>
          <w:snapToGrid w:val="0"/>
          <w:kern w:val="0"/>
        </w:rPr>
        <w:t>交换机</w:t>
      </w:r>
      <w:r>
        <w:tab/>
      </w:r>
      <w:r>
        <w:fldChar w:fldCharType="begin"/>
      </w:r>
      <w:r>
        <w:instrText xml:space="preserve"> PAGEREF _Toc31791930 \h </w:instrText>
      </w:r>
      <w:r>
        <w:fldChar w:fldCharType="separate"/>
      </w:r>
      <w:r>
        <w:t>74</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"_Toc31791931" </w:instrText>
      </w:r>
      <w:r>
        <w:fldChar w:fldCharType="separate"/>
      </w:r>
      <w:r>
        <w:rPr>
          <w:rStyle w:val="76"/>
          <w:rFonts w:ascii="宋体" w:hAnsi="宋体"/>
          <w:snapToGrid w:val="0"/>
          <w:kern w:val="0"/>
        </w:rPr>
        <w:t xml:space="preserve">2.1.5  </w:t>
      </w:r>
      <w:r>
        <w:rPr>
          <w:rStyle w:val="76"/>
          <w:rFonts w:hint="eastAsia" w:ascii="宋体" w:hAnsi="宋体"/>
          <w:snapToGrid w:val="0"/>
          <w:kern w:val="0"/>
        </w:rPr>
        <w:t>视频监视屏</w:t>
      </w:r>
      <w:r>
        <w:tab/>
      </w:r>
      <w:r>
        <w:fldChar w:fldCharType="begin"/>
      </w:r>
      <w:r>
        <w:instrText xml:space="preserve"> PAGEREF _Toc31791931 \h </w:instrText>
      </w:r>
      <w:r>
        <w:fldChar w:fldCharType="separate"/>
      </w:r>
      <w:r>
        <w:t>75</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"_Toc31791932" </w:instrText>
      </w:r>
      <w:r>
        <w:fldChar w:fldCharType="separate"/>
      </w:r>
      <w:r>
        <w:rPr>
          <w:rStyle w:val="76"/>
          <w:rFonts w:ascii="宋体" w:hAnsi="宋体"/>
          <w:snapToGrid w:val="0"/>
          <w:kern w:val="0"/>
        </w:rPr>
        <w:t xml:space="preserve">3  </w:t>
      </w:r>
      <w:r>
        <w:rPr>
          <w:rStyle w:val="76"/>
          <w:rFonts w:hint="eastAsia" w:ascii="宋体" w:hAnsi="宋体"/>
          <w:snapToGrid w:val="0"/>
          <w:kern w:val="0"/>
        </w:rPr>
        <w:t>通信系统设备技术规范</w:t>
      </w:r>
      <w:r>
        <w:tab/>
      </w:r>
      <w:r>
        <w:fldChar w:fldCharType="begin"/>
      </w:r>
      <w:r>
        <w:instrText xml:space="preserve"> PAGEREF _Toc31791932 \h </w:instrText>
      </w:r>
      <w:r>
        <w:fldChar w:fldCharType="separate"/>
      </w:r>
      <w:r>
        <w:t>75</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"_Toc31791933" </w:instrText>
      </w:r>
      <w:r>
        <w:fldChar w:fldCharType="separate"/>
      </w:r>
      <w:r>
        <w:rPr>
          <w:rStyle w:val="76"/>
          <w:rFonts w:ascii="宋体" w:hAnsi="宋体"/>
          <w:snapToGrid w:val="0"/>
          <w:kern w:val="0"/>
        </w:rPr>
        <w:t xml:space="preserve">3.2.1  </w:t>
      </w:r>
      <w:r>
        <w:rPr>
          <w:rStyle w:val="76"/>
          <w:rFonts w:hint="eastAsia" w:ascii="宋体" w:hAnsi="宋体"/>
          <w:snapToGrid w:val="0"/>
          <w:kern w:val="0"/>
        </w:rPr>
        <w:t>工程概况</w:t>
      </w:r>
      <w:r>
        <w:tab/>
      </w:r>
      <w:r>
        <w:fldChar w:fldCharType="begin"/>
      </w:r>
      <w:r>
        <w:instrText xml:space="preserve"> PAGEREF _Toc31791933 \h </w:instrText>
      </w:r>
      <w:r>
        <w:fldChar w:fldCharType="separate"/>
      </w:r>
      <w:r>
        <w:t>76</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"_Toc31791934" </w:instrText>
      </w:r>
      <w:r>
        <w:fldChar w:fldCharType="separate"/>
      </w:r>
      <w:r>
        <w:rPr>
          <w:rStyle w:val="76"/>
          <w:rFonts w:ascii="宋体" w:hAnsi="宋体"/>
          <w:snapToGrid w:val="0"/>
          <w:kern w:val="0"/>
        </w:rPr>
        <w:t xml:space="preserve">3.2.2  </w:t>
      </w:r>
      <w:r>
        <w:rPr>
          <w:rStyle w:val="76"/>
          <w:rFonts w:hint="eastAsia" w:ascii="宋体" w:hAnsi="宋体"/>
          <w:snapToGrid w:val="0"/>
          <w:kern w:val="0"/>
        </w:rPr>
        <w:t>泵站、闸门用电</w:t>
      </w:r>
      <w:r>
        <w:tab/>
      </w:r>
      <w:r>
        <w:fldChar w:fldCharType="begin"/>
      </w:r>
      <w:r>
        <w:instrText xml:space="preserve"> PAGEREF _Toc31791934 \h </w:instrText>
      </w:r>
      <w:r>
        <w:fldChar w:fldCharType="separate"/>
      </w:r>
      <w:r>
        <w:t>76</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"_Toc31791935" </w:instrText>
      </w:r>
      <w:r>
        <w:fldChar w:fldCharType="separate"/>
      </w:r>
      <w:r>
        <w:rPr>
          <w:rStyle w:val="76"/>
          <w:rFonts w:ascii="宋体" w:hAnsi="宋体"/>
          <w:snapToGrid w:val="0"/>
          <w:kern w:val="0"/>
        </w:rPr>
        <w:t xml:space="preserve">3.3.1  </w:t>
      </w:r>
      <w:r>
        <w:rPr>
          <w:rStyle w:val="76"/>
          <w:rFonts w:hint="eastAsia" w:ascii="宋体" w:hAnsi="宋体"/>
          <w:snapToGrid w:val="0"/>
          <w:kern w:val="0"/>
        </w:rPr>
        <w:t>供货范围</w:t>
      </w:r>
      <w:r>
        <w:tab/>
      </w:r>
      <w:r>
        <w:fldChar w:fldCharType="begin"/>
      </w:r>
      <w:r>
        <w:instrText xml:space="preserve"> PAGEREF _Toc31791935 \h </w:instrText>
      </w:r>
      <w:r>
        <w:fldChar w:fldCharType="separate"/>
      </w:r>
      <w:r>
        <w:t>76</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"_Toc31791936" </w:instrText>
      </w:r>
      <w:r>
        <w:fldChar w:fldCharType="separate"/>
      </w:r>
      <w:r>
        <w:rPr>
          <w:rStyle w:val="76"/>
          <w:rFonts w:ascii="宋体" w:hAnsi="宋体"/>
          <w:snapToGrid w:val="0"/>
          <w:kern w:val="0"/>
        </w:rPr>
        <w:t xml:space="preserve">3.11.1  </w:t>
      </w:r>
      <w:r>
        <w:rPr>
          <w:rStyle w:val="76"/>
          <w:rFonts w:hint="eastAsia" w:ascii="宋体" w:hAnsi="宋体"/>
          <w:snapToGrid w:val="0"/>
          <w:kern w:val="0"/>
        </w:rPr>
        <w:t>备品备件</w:t>
      </w:r>
      <w:r>
        <w:tab/>
      </w:r>
      <w:r>
        <w:fldChar w:fldCharType="begin"/>
      </w:r>
      <w:r>
        <w:instrText xml:space="preserve"> PAGEREF _Toc31791936 \h </w:instrText>
      </w:r>
      <w:r>
        <w:fldChar w:fldCharType="separate"/>
      </w:r>
      <w:r>
        <w:t>81</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"_Toc31791937" </w:instrText>
      </w:r>
      <w:r>
        <w:fldChar w:fldCharType="separate"/>
      </w:r>
      <w:r>
        <w:rPr>
          <w:rStyle w:val="76"/>
          <w:rFonts w:ascii="宋体" w:hAnsi="宋体"/>
          <w:snapToGrid w:val="0"/>
          <w:kern w:val="0"/>
        </w:rPr>
        <w:t xml:space="preserve">3.11.2  </w:t>
      </w:r>
      <w:r>
        <w:rPr>
          <w:rStyle w:val="76"/>
          <w:rFonts w:hint="eastAsia" w:ascii="宋体" w:hAnsi="宋体"/>
          <w:snapToGrid w:val="0"/>
          <w:kern w:val="0"/>
        </w:rPr>
        <w:t>专用工器具</w:t>
      </w:r>
      <w:r>
        <w:tab/>
      </w:r>
      <w:r>
        <w:fldChar w:fldCharType="begin"/>
      </w:r>
      <w:r>
        <w:instrText xml:space="preserve"> PAGEREF _Toc31791937 \h </w:instrText>
      </w:r>
      <w:r>
        <w:fldChar w:fldCharType="separate"/>
      </w:r>
      <w:r>
        <w:t>82</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"_Toc31791938" </w:instrText>
      </w:r>
      <w:r>
        <w:fldChar w:fldCharType="separate"/>
      </w:r>
      <w:r>
        <w:rPr>
          <w:rStyle w:val="76"/>
          <w:rFonts w:ascii="宋体" w:hAnsi="宋体"/>
          <w:snapToGrid w:val="0"/>
          <w:kern w:val="0"/>
        </w:rPr>
        <w:t xml:space="preserve">3.16.1  </w:t>
      </w:r>
      <w:r>
        <w:rPr>
          <w:rStyle w:val="76"/>
          <w:rFonts w:hint="eastAsia" w:ascii="宋体" w:hAnsi="宋体"/>
          <w:snapToGrid w:val="0"/>
          <w:kern w:val="0"/>
        </w:rPr>
        <w:t>工厂图纸</w:t>
      </w:r>
      <w:r>
        <w:tab/>
      </w:r>
      <w:r>
        <w:fldChar w:fldCharType="begin"/>
      </w:r>
      <w:r>
        <w:instrText xml:space="preserve"> PAGEREF _Toc31791938 \h </w:instrText>
      </w:r>
      <w:r>
        <w:fldChar w:fldCharType="separate"/>
      </w:r>
      <w:r>
        <w:t>84</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"_Toc31791939" </w:instrText>
      </w:r>
      <w:r>
        <w:fldChar w:fldCharType="separate"/>
      </w:r>
      <w:r>
        <w:rPr>
          <w:rStyle w:val="76"/>
          <w:rFonts w:ascii="宋体" w:hAnsi="宋体"/>
          <w:snapToGrid w:val="0"/>
          <w:kern w:val="0"/>
        </w:rPr>
        <w:t xml:space="preserve">3.16.2  </w:t>
      </w:r>
      <w:r>
        <w:rPr>
          <w:rStyle w:val="76"/>
          <w:rFonts w:hint="eastAsia" w:ascii="宋体" w:hAnsi="宋体"/>
          <w:snapToGrid w:val="0"/>
          <w:kern w:val="0"/>
        </w:rPr>
        <w:t>安装、运行和维护说明书</w:t>
      </w:r>
      <w:r>
        <w:tab/>
      </w:r>
      <w:r>
        <w:fldChar w:fldCharType="begin"/>
      </w:r>
      <w:r>
        <w:instrText xml:space="preserve"> PAGEREF _Toc31791939 \h </w:instrText>
      </w:r>
      <w:r>
        <w:fldChar w:fldCharType="separate"/>
      </w:r>
      <w:r>
        <w:t>85</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"_Toc31791940" </w:instrText>
      </w:r>
      <w:r>
        <w:fldChar w:fldCharType="separate"/>
      </w:r>
      <w:r>
        <w:rPr>
          <w:rStyle w:val="76"/>
          <w:rFonts w:ascii="宋体" w:hAnsi="宋体"/>
          <w:snapToGrid w:val="0"/>
          <w:kern w:val="0"/>
        </w:rPr>
        <w:t xml:space="preserve">3.16.3  </w:t>
      </w:r>
      <w:r>
        <w:rPr>
          <w:rStyle w:val="76"/>
          <w:rFonts w:hint="eastAsia" w:ascii="宋体" w:hAnsi="宋体"/>
          <w:snapToGrid w:val="0"/>
          <w:kern w:val="0"/>
        </w:rPr>
        <w:t>图纸和文件提交时间表</w:t>
      </w:r>
      <w:r>
        <w:tab/>
      </w:r>
      <w:r>
        <w:fldChar w:fldCharType="begin"/>
      </w:r>
      <w:r>
        <w:instrText xml:space="preserve"> PAGEREF _Toc31791940 \h </w:instrText>
      </w:r>
      <w:r>
        <w:fldChar w:fldCharType="separate"/>
      </w:r>
      <w:r>
        <w:t>86</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"_Toc31791941" </w:instrText>
      </w:r>
      <w:r>
        <w:fldChar w:fldCharType="separate"/>
      </w:r>
      <w:r>
        <w:rPr>
          <w:rStyle w:val="76"/>
          <w:rFonts w:ascii="宋体" w:hAnsi="宋体"/>
          <w:snapToGrid w:val="0"/>
          <w:kern w:val="0"/>
        </w:rPr>
        <w:t xml:space="preserve">3.16.4  </w:t>
      </w:r>
      <w:r>
        <w:rPr>
          <w:rStyle w:val="76"/>
          <w:rFonts w:hint="eastAsia" w:ascii="宋体" w:hAnsi="宋体"/>
          <w:snapToGrid w:val="0"/>
          <w:kern w:val="0"/>
        </w:rPr>
        <w:t>图纸和文件的审批</w:t>
      </w:r>
      <w:r>
        <w:tab/>
      </w:r>
      <w:r>
        <w:fldChar w:fldCharType="begin"/>
      </w:r>
      <w:r>
        <w:instrText xml:space="preserve"> PAGEREF _Toc31791941 \h </w:instrText>
      </w:r>
      <w:r>
        <w:fldChar w:fldCharType="separate"/>
      </w:r>
      <w:r>
        <w:t>86</w:t>
      </w:r>
      <w:r>
        <w:fldChar w:fldCharType="end"/>
      </w:r>
      <w:r>
        <w:fldChar w:fldCharType="end"/>
      </w:r>
    </w:p>
    <w:p>
      <w:pPr>
        <w:pStyle w:val="43"/>
        <w:tabs>
          <w:tab w:val="right" w:leader="dot" w:pos="9396"/>
        </w:tabs>
        <w:rPr>
          <w:rFonts w:asciiTheme="minorHAnsi" w:hAnsiTheme="minorHAnsi" w:eastAsiaTheme="minorEastAsia" w:cstheme="minorBidi"/>
          <w:szCs w:val="22"/>
        </w:rPr>
      </w:pPr>
      <w:r>
        <w:fldChar w:fldCharType="begin"/>
      </w:r>
      <w:r>
        <w:instrText xml:space="preserve"> HYPERLINK \l "_Toc31791942" </w:instrText>
      </w:r>
      <w:r>
        <w:fldChar w:fldCharType="separate"/>
      </w:r>
      <w:r>
        <w:rPr>
          <w:rStyle w:val="76"/>
          <w:rFonts w:hint="eastAsia" w:ascii="黑体" w:hAnsi="黑体" w:eastAsia="黑体"/>
        </w:rPr>
        <w:t>第三卷</w:t>
      </w:r>
      <w:r>
        <w:tab/>
      </w:r>
      <w:r>
        <w:fldChar w:fldCharType="begin"/>
      </w:r>
      <w:r>
        <w:instrText xml:space="preserve"> PAGEREF _Toc31791942 \h </w:instrText>
      </w:r>
      <w:r>
        <w:fldChar w:fldCharType="separate"/>
      </w:r>
      <w:r>
        <w:t>88</w:t>
      </w:r>
      <w:r>
        <w:fldChar w:fldCharType="end"/>
      </w:r>
      <w:r>
        <w:fldChar w:fldCharType="end"/>
      </w:r>
    </w:p>
    <w:p>
      <w:pPr>
        <w:pStyle w:val="55"/>
        <w:tabs>
          <w:tab w:val="right" w:leader="dot" w:pos="9396"/>
        </w:tabs>
        <w:rPr>
          <w:rFonts w:asciiTheme="minorHAnsi" w:hAnsiTheme="minorHAnsi" w:eastAsiaTheme="minorEastAsia" w:cstheme="minorBidi"/>
          <w:szCs w:val="22"/>
        </w:rPr>
      </w:pPr>
      <w:r>
        <w:fldChar w:fldCharType="begin"/>
      </w:r>
      <w:r>
        <w:instrText xml:space="preserve"> HYPERLINK \l "_Toc31791943" </w:instrText>
      </w:r>
      <w:r>
        <w:fldChar w:fldCharType="separate"/>
      </w:r>
      <w:r>
        <w:rPr>
          <w:rStyle w:val="76"/>
          <w:rFonts w:hint="eastAsia"/>
        </w:rPr>
        <w:t>第六章投标文件格式</w:t>
      </w:r>
      <w:r>
        <w:tab/>
      </w:r>
      <w:r>
        <w:fldChar w:fldCharType="begin"/>
      </w:r>
      <w:r>
        <w:instrText xml:space="preserve"> PAGEREF _Toc31791943 \h </w:instrText>
      </w:r>
      <w:r>
        <w:fldChar w:fldCharType="separate"/>
      </w:r>
      <w:r>
        <w:t>89</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"_Toc31791944" </w:instrText>
      </w:r>
      <w:r>
        <w:fldChar w:fldCharType="separate"/>
      </w:r>
      <w:r>
        <w:rPr>
          <w:rStyle w:val="76"/>
          <w:rFonts w:hint="eastAsia" w:ascii="宋体" w:hAnsi="宋体"/>
        </w:rPr>
        <w:t>目</w:t>
      </w:r>
      <w:r>
        <w:rPr>
          <w:rStyle w:val="76"/>
          <w:rFonts w:ascii="宋体" w:hAnsi="宋体"/>
        </w:rPr>
        <w:t xml:space="preserve">   </w:t>
      </w:r>
      <w:r>
        <w:rPr>
          <w:rStyle w:val="76"/>
          <w:rFonts w:hint="eastAsia" w:ascii="宋体" w:hAnsi="宋体"/>
        </w:rPr>
        <w:t>录</w:t>
      </w:r>
      <w:r>
        <w:tab/>
      </w:r>
      <w:r>
        <w:fldChar w:fldCharType="begin"/>
      </w:r>
      <w:r>
        <w:instrText xml:space="preserve"> PAGEREF _Toc31791944 \h </w:instrText>
      </w:r>
      <w:r>
        <w:fldChar w:fldCharType="separate"/>
      </w:r>
      <w:r>
        <w:t>91</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"_Toc31791945" </w:instrText>
      </w:r>
      <w:r>
        <w:fldChar w:fldCharType="separate"/>
      </w:r>
      <w:r>
        <w:rPr>
          <w:rStyle w:val="76"/>
          <w:rFonts w:hint="eastAsia" w:ascii="宋体" w:hAnsi="宋体"/>
        </w:rPr>
        <w:t>一、投标函、开标一览表</w:t>
      </w:r>
      <w:r>
        <w:tab/>
      </w:r>
      <w:r>
        <w:fldChar w:fldCharType="begin"/>
      </w:r>
      <w:r>
        <w:instrText xml:space="preserve"> PAGEREF _Toc31791945 \h </w:instrText>
      </w:r>
      <w:r>
        <w:fldChar w:fldCharType="separate"/>
      </w:r>
      <w:r>
        <w:t>92</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"_Toc31791946" </w:instrText>
      </w:r>
      <w:r>
        <w:fldChar w:fldCharType="separate"/>
      </w:r>
      <w:r>
        <w:rPr>
          <w:rStyle w:val="76"/>
          <w:rFonts w:hint="eastAsia" w:ascii="宋体" w:hAnsi="宋体"/>
        </w:rPr>
        <w:t>二、授权委托书</w:t>
      </w:r>
      <w:r>
        <w:tab/>
      </w:r>
      <w:r>
        <w:fldChar w:fldCharType="begin"/>
      </w:r>
      <w:r>
        <w:instrText xml:space="preserve"> PAGEREF _Toc31791946 \h </w:instrText>
      </w:r>
      <w:r>
        <w:fldChar w:fldCharType="separate"/>
      </w:r>
      <w:r>
        <w:t>95</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"_Toc31791947" </w:instrText>
      </w:r>
      <w:r>
        <w:fldChar w:fldCharType="separate"/>
      </w:r>
      <w:r>
        <w:rPr>
          <w:rStyle w:val="76"/>
          <w:rFonts w:hint="eastAsia" w:ascii="宋体" w:hAnsi="宋体"/>
        </w:rPr>
        <w:t>三、投标保证金</w:t>
      </w:r>
      <w:r>
        <w:tab/>
      </w:r>
      <w:r>
        <w:fldChar w:fldCharType="begin"/>
      </w:r>
      <w:r>
        <w:instrText xml:space="preserve"> PAGEREF _Toc31791947 \h </w:instrText>
      </w:r>
      <w:r>
        <w:fldChar w:fldCharType="separate"/>
      </w:r>
      <w:r>
        <w:t>96</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"_Toc31791948" </w:instrText>
      </w:r>
      <w:r>
        <w:fldChar w:fldCharType="separate"/>
      </w:r>
      <w:r>
        <w:rPr>
          <w:rStyle w:val="76"/>
          <w:rFonts w:hint="eastAsia" w:ascii="宋体" w:hAnsi="宋体"/>
        </w:rPr>
        <w:t>四、商务和技术偏差表</w:t>
      </w:r>
      <w:r>
        <w:tab/>
      </w:r>
      <w:r>
        <w:fldChar w:fldCharType="begin"/>
      </w:r>
      <w:r>
        <w:instrText xml:space="preserve"> PAGEREF _Toc31791948 \h </w:instrText>
      </w:r>
      <w:r>
        <w:fldChar w:fldCharType="separate"/>
      </w:r>
      <w:r>
        <w:t>97</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"_Toc31791949" </w:instrText>
      </w:r>
      <w:r>
        <w:fldChar w:fldCharType="separate"/>
      </w:r>
      <w:r>
        <w:rPr>
          <w:rStyle w:val="76"/>
          <w:rFonts w:hint="eastAsia" w:ascii="宋体" w:hAnsi="宋体"/>
        </w:rPr>
        <w:t>五、分项报价表</w:t>
      </w:r>
      <w:r>
        <w:tab/>
      </w:r>
      <w:r>
        <w:fldChar w:fldCharType="begin"/>
      </w:r>
      <w:r>
        <w:instrText xml:space="preserve"> PAGEREF _Toc31791949 \h </w:instrText>
      </w:r>
      <w:r>
        <w:fldChar w:fldCharType="separate"/>
      </w:r>
      <w:r>
        <w:t>98</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"_Toc31791950" </w:instrText>
      </w:r>
      <w:r>
        <w:fldChar w:fldCharType="separate"/>
      </w:r>
      <w:r>
        <w:rPr>
          <w:rStyle w:val="76"/>
          <w:rFonts w:hint="eastAsia" w:ascii="宋体" w:hAnsi="宋体"/>
        </w:rPr>
        <w:t>六、资格审查资料</w:t>
      </w:r>
      <w:r>
        <w:tab/>
      </w:r>
      <w:r>
        <w:fldChar w:fldCharType="begin"/>
      </w:r>
      <w:r>
        <w:instrText xml:space="preserve"> PAGEREF _Toc31791950 \h </w:instrText>
      </w:r>
      <w:r>
        <w:fldChar w:fldCharType="separate"/>
      </w:r>
      <w:r>
        <w:t>99</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"_Toc31791951" </w:instrText>
      </w:r>
      <w:r>
        <w:fldChar w:fldCharType="separate"/>
      </w:r>
      <w:r>
        <w:rPr>
          <w:rStyle w:val="76"/>
          <w:rFonts w:hint="eastAsia" w:ascii="宋体" w:hAnsi="宋体"/>
        </w:rPr>
        <w:t>七、投标设备技术性能指标的详细描述</w:t>
      </w:r>
      <w:r>
        <w:tab/>
      </w:r>
      <w:r>
        <w:fldChar w:fldCharType="begin"/>
      </w:r>
      <w:r>
        <w:instrText xml:space="preserve"> PAGEREF _Toc31791951 \h </w:instrText>
      </w:r>
      <w:r>
        <w:fldChar w:fldCharType="separate"/>
      </w:r>
      <w:r>
        <w:t>104</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"_Toc31791952" </w:instrText>
      </w:r>
      <w:r>
        <w:fldChar w:fldCharType="separate"/>
      </w:r>
      <w:r>
        <w:rPr>
          <w:rStyle w:val="76"/>
          <w:rFonts w:hint="eastAsia" w:ascii="宋体" w:hAnsi="宋体"/>
        </w:rPr>
        <w:t>八、技术支持资料</w:t>
      </w:r>
      <w:r>
        <w:tab/>
      </w:r>
      <w:r>
        <w:fldChar w:fldCharType="begin"/>
      </w:r>
      <w:r>
        <w:instrText xml:space="preserve"> PAGEREF _Toc31791952 \h </w:instrText>
      </w:r>
      <w:r>
        <w:fldChar w:fldCharType="separate"/>
      </w:r>
      <w:r>
        <w:t>105</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"_Toc31791953" </w:instrText>
      </w:r>
      <w:r>
        <w:fldChar w:fldCharType="separate"/>
      </w:r>
      <w:r>
        <w:rPr>
          <w:rStyle w:val="76"/>
          <w:rFonts w:hint="eastAsia" w:ascii="宋体" w:hAnsi="宋体"/>
        </w:rPr>
        <w:t>九、技术服务和质保期服务计划</w:t>
      </w:r>
      <w:r>
        <w:tab/>
      </w:r>
      <w:r>
        <w:fldChar w:fldCharType="begin"/>
      </w:r>
      <w:r>
        <w:instrText xml:space="preserve"> PAGEREF _Toc31791953 \h </w:instrText>
      </w:r>
      <w:r>
        <w:fldChar w:fldCharType="separate"/>
      </w:r>
      <w:r>
        <w:t>106</w:t>
      </w:r>
      <w:r>
        <w:fldChar w:fldCharType="end"/>
      </w:r>
      <w:r>
        <w:fldChar w:fldCharType="end"/>
      </w:r>
    </w:p>
    <w:p>
      <w:pPr>
        <w:pStyle w:val="33"/>
        <w:tabs>
          <w:tab w:val="right" w:leader="dot" w:pos="9396"/>
        </w:tabs>
        <w:rPr>
          <w:rFonts w:asciiTheme="minorHAnsi" w:hAnsiTheme="minorHAnsi" w:eastAsiaTheme="minorEastAsia" w:cstheme="minorBidi"/>
          <w:szCs w:val="22"/>
        </w:rPr>
      </w:pPr>
      <w:r>
        <w:fldChar w:fldCharType="begin"/>
      </w:r>
      <w:r>
        <w:instrText xml:space="preserve"> HYPERLINK \l "_Toc31791954" </w:instrText>
      </w:r>
      <w:r>
        <w:fldChar w:fldCharType="separate"/>
      </w:r>
      <w:r>
        <w:rPr>
          <w:rStyle w:val="76"/>
          <w:rFonts w:hint="eastAsia" w:ascii="宋体" w:hAnsi="宋体"/>
        </w:rPr>
        <w:t>十、其他资料</w:t>
      </w:r>
      <w:r>
        <w:tab/>
      </w:r>
      <w:r>
        <w:fldChar w:fldCharType="begin"/>
      </w:r>
      <w:r>
        <w:instrText xml:space="preserve"> PAGEREF _Toc31791954 \h </w:instrText>
      </w:r>
      <w:r>
        <w:fldChar w:fldCharType="separate"/>
      </w:r>
      <w:r>
        <w:t>107</w:t>
      </w:r>
      <w:r>
        <w:fldChar w:fldCharType="end"/>
      </w:r>
      <w:r>
        <w:fldChar w:fldCharType="end"/>
      </w:r>
    </w:p>
    <w:p>
      <w:pPr>
        <w:spacing w:line="360" w:lineRule="exact"/>
        <w:jc w:val="left"/>
        <w:rPr>
          <w:rFonts w:ascii="宋体" w:hAnsi="宋体"/>
          <w:b/>
          <w:sz w:val="43"/>
        </w:rPr>
        <w:sectPr>
          <w:headerReference r:id="rId3" w:type="default"/>
          <w:headerReference r:id="rId4" w:type="even"/>
          <w:pgSz w:w="12240" w:h="15840"/>
          <w:pgMar w:top="1440" w:right="1417" w:bottom="669" w:left="1417" w:header="720" w:footer="720" w:gutter="0"/>
          <w:cols w:space="720" w:num="1"/>
          <w:docGrid w:linePitch="1" w:charSpace="0"/>
        </w:sectPr>
      </w:pPr>
      <w:r>
        <w:rPr>
          <w:rStyle w:val="76"/>
          <w:rFonts w:hint="eastAsia" w:hAnsi="宋体"/>
          <w:sz w:val="24"/>
          <w:szCs w:val="24"/>
        </w:rPr>
        <w:fldChar w:fldCharType="end"/>
      </w:r>
    </w:p>
    <w:p>
      <w:pPr>
        <w:spacing w:line="239" w:lineRule="auto"/>
        <w:jc w:val="left"/>
        <w:rPr>
          <w:rFonts w:ascii="宋体" w:hAnsi="宋体"/>
          <w:b/>
          <w:sz w:val="43"/>
        </w:rPr>
      </w:pPr>
    </w:p>
    <w:p>
      <w:pPr>
        <w:spacing w:line="239" w:lineRule="auto"/>
        <w:jc w:val="left"/>
        <w:rPr>
          <w:rFonts w:ascii="宋体" w:hAnsi="宋体"/>
          <w:b/>
          <w:sz w:val="43"/>
        </w:rPr>
      </w:pPr>
    </w:p>
    <w:p>
      <w:pPr>
        <w:spacing w:line="239" w:lineRule="auto"/>
        <w:jc w:val="left"/>
        <w:rPr>
          <w:rFonts w:ascii="宋体" w:hAnsi="宋体"/>
          <w:b/>
          <w:sz w:val="43"/>
        </w:rPr>
      </w:pPr>
    </w:p>
    <w:p>
      <w:pPr>
        <w:spacing w:line="239" w:lineRule="auto"/>
        <w:jc w:val="left"/>
        <w:rPr>
          <w:rFonts w:ascii="宋体" w:hAnsi="宋体"/>
          <w:b/>
          <w:sz w:val="43"/>
        </w:rPr>
      </w:pPr>
    </w:p>
    <w:p>
      <w:pPr>
        <w:spacing w:line="239" w:lineRule="auto"/>
        <w:jc w:val="left"/>
        <w:rPr>
          <w:rFonts w:ascii="宋体" w:hAnsi="宋体"/>
          <w:b/>
          <w:sz w:val="43"/>
        </w:rPr>
      </w:pPr>
    </w:p>
    <w:p>
      <w:pPr>
        <w:spacing w:line="239" w:lineRule="auto"/>
        <w:jc w:val="left"/>
        <w:rPr>
          <w:rFonts w:ascii="宋体" w:hAnsi="宋体"/>
          <w:b/>
          <w:sz w:val="43"/>
        </w:rPr>
      </w:pPr>
    </w:p>
    <w:p>
      <w:pPr>
        <w:spacing w:line="239" w:lineRule="auto"/>
        <w:jc w:val="left"/>
        <w:rPr>
          <w:rFonts w:ascii="宋体" w:hAnsi="宋体"/>
          <w:b/>
          <w:sz w:val="43"/>
        </w:rPr>
      </w:pPr>
    </w:p>
    <w:p>
      <w:pPr>
        <w:pStyle w:val="3"/>
        <w:bidi w:val="0"/>
        <w:jc w:val="center"/>
        <w:rPr>
          <w:sz w:val="52"/>
          <w:szCs w:val="52"/>
        </w:rPr>
      </w:pPr>
      <w:bookmarkStart w:id="0" w:name="_Toc16213"/>
      <w:bookmarkStart w:id="1" w:name="_Toc31791872"/>
      <w:r>
        <w:rPr>
          <w:rFonts w:hint="eastAsia"/>
          <w:sz w:val="52"/>
          <w:szCs w:val="52"/>
        </w:rPr>
        <w:t>第一卷</w:t>
      </w:r>
      <w:bookmarkEnd w:id="0"/>
      <w:bookmarkEnd w:id="1"/>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pStyle w:val="3"/>
        <w:numPr>
          <w:ilvl w:val="0"/>
          <w:numId w:val="3"/>
        </w:numPr>
        <w:spacing w:before="0" w:after="0" w:line="500" w:lineRule="exact"/>
        <w:jc w:val="center"/>
        <w:rPr>
          <w:rFonts w:ascii="宋体" w:hAnsi="宋体"/>
        </w:rPr>
      </w:pPr>
      <w:bookmarkStart w:id="2" w:name="_Toc31791873"/>
      <w:r>
        <w:rPr>
          <w:rFonts w:hint="eastAsia" w:ascii="宋体" w:hAnsi="宋体"/>
        </w:rPr>
        <w:t>招标公告</w:t>
      </w:r>
      <w:bookmarkEnd w:id="2"/>
    </w:p>
    <w:p>
      <w:pPr>
        <w:spacing w:line="320" w:lineRule="exact"/>
        <w:jc w:val="center"/>
        <w:rPr>
          <w:rFonts w:ascii="宋体" w:hAnsi="宋体"/>
          <w:b/>
          <w:sz w:val="24"/>
        </w:rPr>
      </w:pPr>
      <w:r>
        <w:rPr>
          <w:rFonts w:hint="eastAsia" w:ascii="宋体" w:hAnsi="宋体"/>
          <w:b/>
          <w:sz w:val="24"/>
        </w:rPr>
        <w:t>招标编号</w:t>
      </w:r>
      <w:r>
        <w:rPr>
          <w:rFonts w:hint="eastAsia" w:ascii="宋体" w:hAnsi="宋体"/>
          <w:b/>
          <w:color w:val="000000"/>
          <w:sz w:val="24"/>
        </w:rPr>
        <w:t>：</w:t>
      </w:r>
      <w:r>
        <w:rPr>
          <w:rFonts w:ascii="宋体" w:hAnsi="宋体"/>
          <w:b/>
          <w:sz w:val="24"/>
        </w:rPr>
        <w:t>FGJL-DLH2019008</w:t>
      </w:r>
    </w:p>
    <w:p>
      <w:pPr>
        <w:pageBreakBefore w:val="0"/>
        <w:widowControl/>
        <w:kinsoku/>
        <w:wordWrap/>
        <w:overflowPunct/>
        <w:topLinePunct w:val="0"/>
        <w:autoSpaceDE/>
        <w:autoSpaceDN/>
        <w:bidi w:val="0"/>
        <w:adjustRightInd/>
        <w:snapToGrid/>
        <w:spacing w:line="216" w:lineRule="auto"/>
        <w:ind w:firstLine="480" w:firstLineChars="200"/>
        <w:textAlignment w:val="auto"/>
        <w:rPr>
          <w:rFonts w:ascii="宋体"/>
          <w:sz w:val="24"/>
        </w:rPr>
      </w:pPr>
      <w:r>
        <w:rPr>
          <w:rFonts w:hint="eastAsia" w:ascii="宋体" w:hAnsi="宋体"/>
          <w:sz w:val="24"/>
          <w:szCs w:val="24"/>
        </w:rPr>
        <w:t>本招标项目吉林省哈达山松原灌区大安龙海灌片工程</w:t>
      </w:r>
      <w:r>
        <w:rPr>
          <w:rFonts w:hint="eastAsia" w:ascii="宋体" w:hAnsi="宋体"/>
          <w:snapToGrid w:val="0"/>
          <w:kern w:val="0"/>
          <w:sz w:val="24"/>
          <w:szCs w:val="24"/>
        </w:rPr>
        <w:t>已由吉林省发展和改革委员会</w:t>
      </w:r>
      <w:r>
        <w:rPr>
          <w:rFonts w:hint="eastAsia" w:ascii="宋体" w:hAnsi="宋体" w:cs="宋体"/>
          <w:color w:val="000000"/>
          <w:kern w:val="0"/>
          <w:sz w:val="24"/>
        </w:rPr>
        <w:t>以吉发改审批</w:t>
      </w:r>
      <w:r>
        <w:rPr>
          <w:rFonts w:hint="eastAsia" w:ascii="宋体" w:hAnsi="宋体"/>
          <w:snapToGrid w:val="0"/>
          <w:kern w:val="0"/>
          <w:sz w:val="24"/>
          <w:szCs w:val="24"/>
        </w:rPr>
        <w:t>[2015]147号文件批准建设，建设资金为</w:t>
      </w:r>
      <w:r>
        <w:rPr>
          <w:rFonts w:hint="eastAsia" w:ascii="宋体" w:hAnsi="宋体"/>
          <w:snapToGrid w:val="0"/>
          <w:kern w:val="0"/>
          <w:sz w:val="24"/>
        </w:rPr>
        <w:t>中央及地方配套资金</w:t>
      </w:r>
      <w:r>
        <w:rPr>
          <w:rFonts w:hint="eastAsia" w:ascii="宋体" w:hAnsi="宋体"/>
          <w:snapToGrid w:val="0"/>
          <w:kern w:val="0"/>
          <w:sz w:val="24"/>
          <w:szCs w:val="24"/>
        </w:rPr>
        <w:t>。招标人为松原灌区大安工程建设管理指挥部办公室，招标代理机构为北京泛华国金工程咨询有限公司。项目已具备招标条件，现对该项目设备采购进行公开招标。</w:t>
      </w:r>
    </w:p>
    <w:p>
      <w:pPr>
        <w:pStyle w:val="4"/>
        <w:keepNext/>
        <w:keepLines/>
        <w:pageBreakBefore w:val="0"/>
        <w:widowControl/>
        <w:kinsoku/>
        <w:wordWrap/>
        <w:overflowPunct/>
        <w:topLinePunct w:val="0"/>
        <w:autoSpaceDE/>
        <w:autoSpaceDN/>
        <w:bidi w:val="0"/>
        <w:adjustRightInd/>
        <w:snapToGrid/>
        <w:spacing w:line="216" w:lineRule="auto"/>
        <w:textAlignment w:val="auto"/>
        <w:rPr>
          <w:sz w:val="24"/>
          <w:szCs w:val="24"/>
        </w:rPr>
      </w:pPr>
      <w:r>
        <w:rPr>
          <w:rFonts w:hint="eastAsia"/>
          <w:sz w:val="24"/>
          <w:szCs w:val="24"/>
        </w:rPr>
        <w:t>一、招标内容</w:t>
      </w:r>
    </w:p>
    <w:p>
      <w:pPr>
        <w:pageBreakBefore w:val="0"/>
        <w:widowControl/>
        <w:kinsoku/>
        <w:wordWrap/>
        <w:overflowPunct/>
        <w:topLinePunct w:val="0"/>
        <w:autoSpaceDE/>
        <w:autoSpaceDN/>
        <w:bidi w:val="0"/>
        <w:adjustRightInd/>
        <w:snapToGrid/>
        <w:spacing w:line="216" w:lineRule="auto"/>
        <w:ind w:firstLine="480" w:firstLineChars="200"/>
        <w:textAlignment w:val="auto"/>
        <w:rPr>
          <w:rFonts w:ascii="宋体" w:hAnsi="宋体"/>
          <w:sz w:val="24"/>
        </w:rPr>
      </w:pPr>
      <w:r>
        <w:rPr>
          <w:rFonts w:hint="eastAsia" w:ascii="宋体" w:cs="宋体"/>
          <w:kern w:val="0"/>
          <w:sz w:val="24"/>
        </w:rPr>
        <w:t>本项目位于</w:t>
      </w:r>
      <w:r>
        <w:rPr>
          <w:rFonts w:hint="eastAsia" w:ascii="宋体" w:hAnsi="宋体"/>
          <w:sz w:val="24"/>
          <w:szCs w:val="24"/>
        </w:rPr>
        <w:t>吉林省哈达山松原灌区大安龙海灌片</w:t>
      </w:r>
      <w:r>
        <w:rPr>
          <w:rFonts w:hint="eastAsia" w:ascii="宋体" w:hAnsi="宋体"/>
          <w:sz w:val="24"/>
        </w:rPr>
        <w:t>。</w:t>
      </w:r>
    </w:p>
    <w:p>
      <w:pPr>
        <w:pageBreakBefore w:val="0"/>
        <w:widowControl/>
        <w:kinsoku/>
        <w:wordWrap/>
        <w:overflowPunct/>
        <w:topLinePunct w:val="0"/>
        <w:autoSpaceDE/>
        <w:autoSpaceDN/>
        <w:bidi w:val="0"/>
        <w:adjustRightInd/>
        <w:snapToGrid/>
        <w:spacing w:line="216" w:lineRule="auto"/>
        <w:ind w:firstLine="480" w:firstLineChars="200"/>
        <w:textAlignment w:val="auto"/>
        <w:rPr>
          <w:rFonts w:ascii="宋体" w:hAnsi="宋体"/>
          <w:sz w:val="24"/>
        </w:rPr>
      </w:pPr>
      <w:r>
        <w:rPr>
          <w:rFonts w:hint="eastAsia" w:ascii="宋体" w:hAnsi="宋体"/>
          <w:sz w:val="24"/>
        </w:rPr>
        <w:t>项目</w:t>
      </w:r>
      <w:r>
        <w:rPr>
          <w:rFonts w:ascii="宋体" w:hAnsi="宋体"/>
          <w:sz w:val="24"/>
        </w:rPr>
        <w:t>名称：</w:t>
      </w:r>
      <w:r>
        <w:rPr>
          <w:rFonts w:hint="eastAsia" w:ascii="宋体" w:hAnsi="宋体"/>
          <w:sz w:val="24"/>
        </w:rPr>
        <w:t>吉林省哈达山松原灌区大安龙海灌片工程（渠系闸门电气设备、渠系闸门视频监视设备、通讯设备等采购）</w:t>
      </w:r>
    </w:p>
    <w:p>
      <w:pPr>
        <w:pageBreakBefore w:val="0"/>
        <w:widowControl/>
        <w:kinsoku/>
        <w:wordWrap/>
        <w:overflowPunct/>
        <w:topLinePunct w:val="0"/>
        <w:autoSpaceDE/>
        <w:autoSpaceDN/>
        <w:bidi w:val="0"/>
        <w:adjustRightInd/>
        <w:snapToGrid/>
        <w:spacing w:line="216" w:lineRule="auto"/>
        <w:ind w:firstLine="480" w:firstLineChars="200"/>
        <w:textAlignment w:val="auto"/>
        <w:rPr>
          <w:rFonts w:ascii="宋体" w:hAnsi="宋体"/>
          <w:bCs/>
          <w:sz w:val="24"/>
        </w:rPr>
      </w:pPr>
      <w:r>
        <w:rPr>
          <w:rFonts w:hint="eastAsia" w:ascii="宋体" w:hAnsi="宋体"/>
          <w:bCs/>
          <w:sz w:val="24"/>
        </w:rPr>
        <w:t>招标内容：渠系闸门电气设备、渠系闸门视频监视设备、通讯设备等采购。</w:t>
      </w:r>
    </w:p>
    <w:p>
      <w:pPr>
        <w:pageBreakBefore w:val="0"/>
        <w:widowControl/>
        <w:kinsoku/>
        <w:wordWrap/>
        <w:overflowPunct/>
        <w:topLinePunct w:val="0"/>
        <w:autoSpaceDE/>
        <w:autoSpaceDN/>
        <w:bidi w:val="0"/>
        <w:adjustRightInd/>
        <w:snapToGrid/>
        <w:spacing w:line="216" w:lineRule="auto"/>
        <w:ind w:firstLine="480" w:firstLineChars="200"/>
        <w:textAlignment w:val="auto"/>
        <w:rPr>
          <w:rFonts w:ascii="宋体" w:hAnsi="宋体"/>
          <w:bCs/>
          <w:sz w:val="24"/>
        </w:rPr>
      </w:pPr>
      <w:r>
        <w:rPr>
          <w:rFonts w:hint="eastAsia" w:ascii="宋体" w:hAnsi="宋体"/>
          <w:bCs/>
          <w:sz w:val="24"/>
        </w:rPr>
        <w:t>交货期：20</w:t>
      </w:r>
      <w:r>
        <w:rPr>
          <w:rFonts w:ascii="宋体" w:hAnsi="宋体"/>
          <w:bCs/>
          <w:sz w:val="24"/>
        </w:rPr>
        <w:t>20</w:t>
      </w:r>
      <w:r>
        <w:rPr>
          <w:rFonts w:hint="eastAsia" w:ascii="宋体" w:hAnsi="宋体"/>
          <w:bCs/>
          <w:sz w:val="24"/>
        </w:rPr>
        <w:t>年12月31日前按业主要求陆续供货。</w:t>
      </w:r>
    </w:p>
    <w:p>
      <w:pPr>
        <w:pageBreakBefore w:val="0"/>
        <w:widowControl/>
        <w:kinsoku/>
        <w:wordWrap/>
        <w:overflowPunct/>
        <w:topLinePunct w:val="0"/>
        <w:autoSpaceDE/>
        <w:autoSpaceDN/>
        <w:bidi w:val="0"/>
        <w:adjustRightInd/>
        <w:snapToGrid/>
        <w:spacing w:line="216" w:lineRule="auto"/>
        <w:ind w:firstLine="480" w:firstLineChars="200"/>
        <w:textAlignment w:val="auto"/>
        <w:rPr>
          <w:rFonts w:ascii="宋体"/>
          <w:b/>
          <w:color w:val="000000"/>
          <w:sz w:val="28"/>
          <w:szCs w:val="28"/>
        </w:rPr>
      </w:pPr>
      <w:r>
        <w:rPr>
          <w:rFonts w:hint="eastAsia" w:ascii="宋体"/>
          <w:color w:val="000000"/>
          <w:sz w:val="24"/>
        </w:rPr>
        <w:t>招标货物详细</w:t>
      </w:r>
      <w:r>
        <w:rPr>
          <w:rFonts w:hint="eastAsia" w:ascii="宋体" w:cs="Arial"/>
          <w:color w:val="000000"/>
          <w:sz w:val="24"/>
        </w:rPr>
        <w:t>内容见招标文件供货清单及技术文件</w:t>
      </w:r>
      <w:r>
        <w:rPr>
          <w:rFonts w:hint="eastAsia" w:ascii="宋体"/>
          <w:color w:val="000000"/>
          <w:sz w:val="24"/>
        </w:rPr>
        <w:t>。</w:t>
      </w:r>
    </w:p>
    <w:p>
      <w:pPr>
        <w:pStyle w:val="4"/>
        <w:keepNext/>
        <w:keepLines/>
        <w:pageBreakBefore w:val="0"/>
        <w:widowControl/>
        <w:kinsoku/>
        <w:wordWrap/>
        <w:overflowPunct/>
        <w:topLinePunct w:val="0"/>
        <w:autoSpaceDE/>
        <w:autoSpaceDN/>
        <w:bidi w:val="0"/>
        <w:adjustRightInd/>
        <w:snapToGrid/>
        <w:spacing w:line="216" w:lineRule="auto"/>
        <w:textAlignment w:val="auto"/>
        <w:rPr>
          <w:rFonts w:hint="eastAsia"/>
          <w:sz w:val="24"/>
          <w:szCs w:val="24"/>
        </w:rPr>
      </w:pPr>
      <w:r>
        <w:rPr>
          <w:rFonts w:hint="eastAsia"/>
          <w:sz w:val="24"/>
          <w:szCs w:val="24"/>
        </w:rPr>
        <w:t>二、资格审查条件</w:t>
      </w:r>
    </w:p>
    <w:p>
      <w:pPr>
        <w:pageBreakBefore w:val="0"/>
        <w:widowControl/>
        <w:kinsoku/>
        <w:wordWrap/>
        <w:overflowPunct/>
        <w:topLinePunct w:val="0"/>
        <w:autoSpaceDE/>
        <w:autoSpaceDN/>
        <w:bidi w:val="0"/>
        <w:adjustRightInd/>
        <w:snapToGrid/>
        <w:spacing w:line="216" w:lineRule="auto"/>
        <w:ind w:firstLine="480" w:firstLineChars="200"/>
        <w:textAlignment w:val="auto"/>
        <w:rPr>
          <w:rFonts w:ascii="宋体"/>
          <w:sz w:val="24"/>
        </w:rPr>
      </w:pPr>
      <w:r>
        <w:rPr>
          <w:rFonts w:hint="eastAsia" w:ascii="宋体"/>
          <w:sz w:val="24"/>
        </w:rPr>
        <w:t>1.投标人须具有独立法人资格的生产厂家或经销商；</w:t>
      </w:r>
    </w:p>
    <w:p>
      <w:pPr>
        <w:pageBreakBefore w:val="0"/>
        <w:widowControl/>
        <w:kinsoku/>
        <w:wordWrap/>
        <w:overflowPunct/>
        <w:topLinePunct w:val="0"/>
        <w:autoSpaceDE/>
        <w:autoSpaceDN/>
        <w:bidi w:val="0"/>
        <w:adjustRightInd/>
        <w:snapToGrid/>
        <w:spacing w:line="216" w:lineRule="auto"/>
        <w:ind w:firstLine="480" w:firstLineChars="200"/>
        <w:textAlignment w:val="auto"/>
        <w:rPr>
          <w:rFonts w:ascii="宋体"/>
          <w:sz w:val="24"/>
        </w:rPr>
      </w:pPr>
      <w:r>
        <w:rPr>
          <w:rFonts w:hint="eastAsia" w:ascii="宋体"/>
          <w:sz w:val="24"/>
        </w:rPr>
        <w:t>2.财务状况良好，满足本项目实施的需要；</w:t>
      </w:r>
    </w:p>
    <w:p>
      <w:pPr>
        <w:pageBreakBefore w:val="0"/>
        <w:widowControl/>
        <w:kinsoku/>
        <w:wordWrap/>
        <w:overflowPunct/>
        <w:topLinePunct w:val="0"/>
        <w:autoSpaceDE/>
        <w:autoSpaceDN/>
        <w:bidi w:val="0"/>
        <w:adjustRightInd/>
        <w:snapToGrid/>
        <w:spacing w:line="216" w:lineRule="auto"/>
        <w:ind w:firstLine="480" w:firstLineChars="200"/>
        <w:textAlignment w:val="auto"/>
        <w:rPr>
          <w:rFonts w:ascii="宋体"/>
          <w:sz w:val="24"/>
        </w:rPr>
      </w:pPr>
      <w:r>
        <w:rPr>
          <w:rFonts w:hint="eastAsia" w:ascii="宋体"/>
          <w:sz w:val="24"/>
        </w:rPr>
        <w:t>3.本项目不接受联合体投标。</w:t>
      </w:r>
    </w:p>
    <w:p>
      <w:pPr>
        <w:pStyle w:val="4"/>
        <w:keepNext/>
        <w:keepLines/>
        <w:pageBreakBefore w:val="0"/>
        <w:widowControl/>
        <w:kinsoku/>
        <w:wordWrap/>
        <w:overflowPunct/>
        <w:topLinePunct w:val="0"/>
        <w:autoSpaceDE/>
        <w:autoSpaceDN/>
        <w:bidi w:val="0"/>
        <w:adjustRightInd/>
        <w:snapToGrid/>
        <w:spacing w:line="216" w:lineRule="auto"/>
        <w:textAlignment w:val="auto"/>
        <w:rPr>
          <w:rFonts w:hint="eastAsia"/>
          <w:sz w:val="24"/>
          <w:szCs w:val="24"/>
        </w:rPr>
      </w:pPr>
      <w:r>
        <w:rPr>
          <w:rFonts w:hint="eastAsia"/>
          <w:sz w:val="24"/>
          <w:szCs w:val="24"/>
        </w:rPr>
        <w:t>三、招标文件的发售</w:t>
      </w:r>
    </w:p>
    <w:p>
      <w:pPr>
        <w:pageBreakBefore w:val="0"/>
        <w:widowControl/>
        <w:kinsoku/>
        <w:wordWrap/>
        <w:overflowPunct/>
        <w:topLinePunct w:val="0"/>
        <w:autoSpaceDE/>
        <w:autoSpaceDN/>
        <w:bidi w:val="0"/>
        <w:adjustRightInd/>
        <w:snapToGrid/>
        <w:spacing w:line="216" w:lineRule="auto"/>
        <w:ind w:firstLine="480" w:firstLineChars="200"/>
        <w:textAlignment w:val="auto"/>
        <w:rPr>
          <w:rFonts w:ascii="宋体" w:cs="宋体"/>
          <w:kern w:val="0"/>
          <w:sz w:val="24"/>
        </w:rPr>
      </w:pPr>
      <w:r>
        <w:rPr>
          <w:rFonts w:hint="eastAsia" w:ascii="宋体"/>
          <w:sz w:val="24"/>
        </w:rPr>
        <w:t>1．购买招标文件时需携带本人身份证、营业执照副本及上述证件的复印件（加盖公章）和企业法定代表人签名真迹的授权委托书或法定代表人身份证明（法人购买招标文件时）。</w:t>
      </w:r>
    </w:p>
    <w:p>
      <w:pPr>
        <w:pageBreakBefore w:val="0"/>
        <w:widowControl/>
        <w:kinsoku/>
        <w:wordWrap/>
        <w:overflowPunct/>
        <w:topLinePunct w:val="0"/>
        <w:autoSpaceDE/>
        <w:autoSpaceDN/>
        <w:bidi w:val="0"/>
        <w:adjustRightInd/>
        <w:snapToGrid/>
        <w:spacing w:line="216" w:lineRule="auto"/>
        <w:ind w:firstLine="480" w:firstLineChars="200"/>
        <w:textAlignment w:val="auto"/>
        <w:rPr>
          <w:rFonts w:ascii="宋体"/>
          <w:sz w:val="24"/>
        </w:rPr>
      </w:pPr>
      <w:r>
        <w:rPr>
          <w:rFonts w:hint="eastAsia" w:ascii="宋体"/>
          <w:sz w:val="24"/>
        </w:rPr>
        <w:t>2．招标文件在</w:t>
      </w:r>
      <w:r>
        <w:rPr>
          <w:rFonts w:hint="eastAsia" w:ascii="宋体"/>
          <w:color w:val="000000"/>
          <w:sz w:val="24"/>
        </w:rPr>
        <w:t>吉林省人民政府政务大厅</w:t>
      </w:r>
      <w:r>
        <w:rPr>
          <w:rFonts w:hint="eastAsia" w:ascii="宋体"/>
          <w:sz w:val="24"/>
        </w:rPr>
        <w:t>四楼综合窗口出售（地址：长春市人民大街9999号）。招标文件售价（人民币）：每份500元整，售后不退。</w:t>
      </w:r>
    </w:p>
    <w:p>
      <w:pPr>
        <w:pageBreakBefore w:val="0"/>
        <w:widowControl/>
        <w:kinsoku/>
        <w:wordWrap/>
        <w:overflowPunct/>
        <w:topLinePunct w:val="0"/>
        <w:autoSpaceDE/>
        <w:autoSpaceDN/>
        <w:bidi w:val="0"/>
        <w:adjustRightInd/>
        <w:snapToGrid/>
        <w:spacing w:line="216" w:lineRule="auto"/>
        <w:ind w:firstLine="480" w:firstLineChars="200"/>
        <w:textAlignment w:val="auto"/>
        <w:rPr>
          <w:rFonts w:ascii="宋体"/>
          <w:sz w:val="24"/>
        </w:rPr>
      </w:pPr>
      <w:r>
        <w:rPr>
          <w:rFonts w:hint="eastAsia" w:ascii="宋体"/>
          <w:sz w:val="24"/>
        </w:rPr>
        <w:t>3．招标文件出售时间为2019年1</w:t>
      </w:r>
      <w:r>
        <w:rPr>
          <w:rFonts w:ascii="宋体"/>
          <w:sz w:val="24"/>
        </w:rPr>
        <w:t>0</w:t>
      </w:r>
      <w:r>
        <w:rPr>
          <w:rFonts w:hint="eastAsia" w:ascii="宋体"/>
          <w:sz w:val="24"/>
        </w:rPr>
        <w:t>月</w:t>
      </w:r>
      <w:r>
        <w:rPr>
          <w:rFonts w:ascii="宋体"/>
          <w:sz w:val="24"/>
        </w:rPr>
        <w:t>28</w:t>
      </w:r>
      <w:r>
        <w:rPr>
          <w:rFonts w:hint="eastAsia" w:ascii="宋体"/>
          <w:sz w:val="24"/>
        </w:rPr>
        <w:t>日至2019年11月</w:t>
      </w:r>
      <w:r>
        <w:rPr>
          <w:rFonts w:ascii="宋体"/>
          <w:sz w:val="24"/>
        </w:rPr>
        <w:t>1</w:t>
      </w:r>
      <w:r>
        <w:rPr>
          <w:rFonts w:hint="eastAsia" w:ascii="宋体"/>
          <w:sz w:val="24"/>
        </w:rPr>
        <w:t>日每天08：30-16：00（北京时间，节假日除外），过期不予受理。</w:t>
      </w:r>
    </w:p>
    <w:p>
      <w:pPr>
        <w:pStyle w:val="4"/>
        <w:keepNext/>
        <w:keepLines/>
        <w:pageBreakBefore w:val="0"/>
        <w:widowControl/>
        <w:kinsoku/>
        <w:wordWrap/>
        <w:overflowPunct/>
        <w:topLinePunct w:val="0"/>
        <w:autoSpaceDE/>
        <w:autoSpaceDN/>
        <w:bidi w:val="0"/>
        <w:adjustRightInd/>
        <w:snapToGrid/>
        <w:spacing w:line="216" w:lineRule="auto"/>
        <w:textAlignment w:val="auto"/>
        <w:rPr>
          <w:rFonts w:hint="eastAsia"/>
          <w:sz w:val="24"/>
          <w:szCs w:val="24"/>
        </w:rPr>
      </w:pPr>
      <w:r>
        <w:rPr>
          <w:rFonts w:hint="eastAsia"/>
          <w:sz w:val="24"/>
          <w:szCs w:val="24"/>
        </w:rPr>
        <w:t>四、投标截止时间、开标时间及地点</w:t>
      </w:r>
    </w:p>
    <w:p>
      <w:pPr>
        <w:pageBreakBefore w:val="0"/>
        <w:widowControl/>
        <w:kinsoku/>
        <w:wordWrap/>
        <w:overflowPunct/>
        <w:topLinePunct w:val="0"/>
        <w:autoSpaceDE/>
        <w:autoSpaceDN/>
        <w:bidi w:val="0"/>
        <w:adjustRightInd/>
        <w:snapToGrid/>
        <w:spacing w:line="216" w:lineRule="auto"/>
        <w:ind w:firstLine="480" w:firstLineChars="200"/>
        <w:textAlignment w:val="auto"/>
        <w:rPr>
          <w:rFonts w:ascii="宋体"/>
          <w:sz w:val="24"/>
        </w:rPr>
      </w:pPr>
      <w:r>
        <w:rPr>
          <w:rFonts w:hint="eastAsia" w:ascii="宋体"/>
          <w:sz w:val="24"/>
        </w:rPr>
        <w:t>投标截止时间、开标时间为2019年11月</w:t>
      </w:r>
      <w:r>
        <w:rPr>
          <w:rFonts w:ascii="宋体"/>
          <w:sz w:val="24"/>
        </w:rPr>
        <w:t>18</w:t>
      </w:r>
      <w:r>
        <w:rPr>
          <w:rFonts w:hint="eastAsia" w:ascii="宋体"/>
          <w:sz w:val="24"/>
        </w:rPr>
        <w:t>日上午9:00时（北京时间），地点在吉林省人民政府政务大厅四楼开标室（地址：长春市人民大街9999号）。届时请投标人法定代表人或其授权委托人准时参加。</w:t>
      </w:r>
    </w:p>
    <w:p>
      <w:pPr>
        <w:pStyle w:val="4"/>
        <w:keepNext/>
        <w:keepLines/>
        <w:pageBreakBefore w:val="0"/>
        <w:widowControl/>
        <w:kinsoku/>
        <w:wordWrap/>
        <w:overflowPunct/>
        <w:topLinePunct w:val="0"/>
        <w:autoSpaceDE/>
        <w:autoSpaceDN/>
        <w:bidi w:val="0"/>
        <w:adjustRightInd/>
        <w:snapToGrid/>
        <w:spacing w:line="216" w:lineRule="auto"/>
        <w:textAlignment w:val="auto"/>
        <w:rPr>
          <w:rFonts w:hint="eastAsia"/>
          <w:sz w:val="24"/>
          <w:szCs w:val="24"/>
        </w:rPr>
      </w:pPr>
      <w:r>
        <w:rPr>
          <w:rFonts w:hint="eastAsia"/>
          <w:sz w:val="24"/>
          <w:szCs w:val="24"/>
        </w:rPr>
        <w:t>五、发布公告的媒介</w:t>
      </w:r>
    </w:p>
    <w:p>
      <w:pPr>
        <w:pageBreakBefore w:val="0"/>
        <w:widowControl/>
        <w:kinsoku/>
        <w:wordWrap/>
        <w:overflowPunct/>
        <w:topLinePunct w:val="0"/>
        <w:autoSpaceDE/>
        <w:autoSpaceDN/>
        <w:bidi w:val="0"/>
        <w:adjustRightInd/>
        <w:snapToGrid/>
        <w:spacing w:line="216" w:lineRule="auto"/>
        <w:ind w:firstLine="480" w:firstLineChars="200"/>
        <w:textAlignment w:val="auto"/>
        <w:rPr>
          <w:rFonts w:ascii="宋体"/>
          <w:sz w:val="24"/>
        </w:rPr>
      </w:pPr>
      <w:r>
        <w:rPr>
          <w:rFonts w:hint="eastAsia" w:ascii="宋体"/>
          <w:sz w:val="24"/>
        </w:rPr>
        <w:t>本次招标公告同时在《中国采购与招标网》、《吉林省公共资源交易中心网》、《中国招标投标公共服务平台》上发布。</w:t>
      </w:r>
    </w:p>
    <w:p>
      <w:pPr>
        <w:pageBreakBefore w:val="0"/>
        <w:widowControl/>
        <w:kinsoku/>
        <w:wordWrap/>
        <w:overflowPunct/>
        <w:topLinePunct w:val="0"/>
        <w:autoSpaceDE/>
        <w:autoSpaceDN/>
        <w:bidi w:val="0"/>
        <w:adjustRightInd/>
        <w:snapToGrid/>
        <w:spacing w:line="216" w:lineRule="auto"/>
        <w:ind w:firstLine="720" w:firstLineChars="300"/>
        <w:textAlignment w:val="auto"/>
        <w:rPr>
          <w:rFonts w:ascii="宋体" w:cs="宋体"/>
          <w:bCs/>
          <w:kern w:val="0"/>
          <w:sz w:val="24"/>
        </w:rPr>
      </w:pPr>
      <w:r>
        <w:rPr>
          <w:rFonts w:hint="eastAsia" w:ascii="宋体"/>
          <w:sz w:val="24"/>
        </w:rPr>
        <w:t>招 标 人：</w:t>
      </w:r>
      <w:r>
        <w:rPr>
          <w:rFonts w:hint="eastAsia" w:ascii="宋体" w:hAnsi="宋体"/>
          <w:snapToGrid w:val="0"/>
          <w:kern w:val="0"/>
          <w:sz w:val="24"/>
          <w:szCs w:val="24"/>
        </w:rPr>
        <w:t>松原灌区大安工程建设管理指挥部办公室</w:t>
      </w:r>
    </w:p>
    <w:p>
      <w:pPr>
        <w:pageBreakBefore w:val="0"/>
        <w:widowControl/>
        <w:kinsoku/>
        <w:wordWrap/>
        <w:overflowPunct/>
        <w:topLinePunct w:val="0"/>
        <w:autoSpaceDE/>
        <w:autoSpaceDN/>
        <w:bidi w:val="0"/>
        <w:adjustRightInd/>
        <w:snapToGrid/>
        <w:spacing w:line="216" w:lineRule="auto"/>
        <w:ind w:firstLine="720" w:firstLineChars="300"/>
        <w:textAlignment w:val="auto"/>
        <w:rPr>
          <w:rFonts w:ascii="宋体"/>
          <w:sz w:val="24"/>
        </w:rPr>
      </w:pPr>
      <w:r>
        <w:rPr>
          <w:rFonts w:hint="eastAsia" w:ascii="宋体"/>
          <w:sz w:val="24"/>
        </w:rPr>
        <w:t>联 系 人：</w:t>
      </w:r>
      <w:r>
        <w:rPr>
          <w:rFonts w:hint="eastAsia" w:ascii="宋体" w:hAnsi="宋体"/>
          <w:sz w:val="24"/>
        </w:rPr>
        <w:t>周瞳</w:t>
      </w:r>
    </w:p>
    <w:p>
      <w:pPr>
        <w:pageBreakBefore w:val="0"/>
        <w:widowControl/>
        <w:kinsoku/>
        <w:wordWrap/>
        <w:overflowPunct/>
        <w:topLinePunct w:val="0"/>
        <w:autoSpaceDE/>
        <w:autoSpaceDN/>
        <w:bidi w:val="0"/>
        <w:adjustRightInd/>
        <w:snapToGrid/>
        <w:spacing w:line="216" w:lineRule="auto"/>
        <w:ind w:firstLine="720" w:firstLineChars="300"/>
        <w:textAlignment w:val="auto"/>
        <w:rPr>
          <w:rFonts w:ascii="宋体"/>
          <w:color w:val="FF0000"/>
          <w:sz w:val="24"/>
        </w:rPr>
      </w:pPr>
      <w:r>
        <w:rPr>
          <w:rFonts w:hint="eastAsia" w:ascii="宋体"/>
          <w:sz w:val="24"/>
        </w:rPr>
        <w:t>联系电话：</w:t>
      </w:r>
      <w:r>
        <w:rPr>
          <w:rFonts w:ascii="宋体" w:hAnsi="宋体"/>
          <w:sz w:val="24"/>
        </w:rPr>
        <w:t>0436-5265080</w:t>
      </w:r>
    </w:p>
    <w:p>
      <w:pPr>
        <w:pageBreakBefore w:val="0"/>
        <w:widowControl/>
        <w:kinsoku/>
        <w:wordWrap/>
        <w:overflowPunct/>
        <w:topLinePunct w:val="0"/>
        <w:autoSpaceDE/>
        <w:autoSpaceDN/>
        <w:bidi w:val="0"/>
        <w:adjustRightInd/>
        <w:snapToGrid/>
        <w:spacing w:line="216" w:lineRule="auto"/>
        <w:ind w:firstLine="720" w:firstLineChars="300"/>
        <w:textAlignment w:val="auto"/>
        <w:rPr>
          <w:rFonts w:ascii="宋体" w:hAnsi="宋体"/>
          <w:color w:val="000000"/>
          <w:sz w:val="24"/>
        </w:rPr>
      </w:pPr>
      <w:r>
        <w:rPr>
          <w:rFonts w:hint="eastAsia" w:ascii="宋体" w:hAnsi="宋体"/>
          <w:color w:val="000000"/>
          <w:sz w:val="24"/>
        </w:rPr>
        <w:t>招标代理机构：</w:t>
      </w:r>
      <w:r>
        <w:rPr>
          <w:rFonts w:hint="eastAsia" w:ascii="宋体" w:hAnsi="宋体"/>
          <w:snapToGrid w:val="0"/>
          <w:kern w:val="0"/>
          <w:sz w:val="24"/>
          <w:szCs w:val="24"/>
        </w:rPr>
        <w:t>北京泛华国金工程咨询有限公司</w:t>
      </w:r>
    </w:p>
    <w:p>
      <w:pPr>
        <w:pageBreakBefore w:val="0"/>
        <w:widowControl/>
        <w:kinsoku/>
        <w:wordWrap/>
        <w:overflowPunct/>
        <w:topLinePunct w:val="0"/>
        <w:autoSpaceDE/>
        <w:autoSpaceDN/>
        <w:bidi w:val="0"/>
        <w:adjustRightInd/>
        <w:snapToGrid/>
        <w:spacing w:line="216" w:lineRule="auto"/>
        <w:ind w:firstLine="720" w:firstLineChars="300"/>
        <w:textAlignment w:val="auto"/>
        <w:rPr>
          <w:rFonts w:ascii="宋体" w:hAnsi="宋体"/>
          <w:sz w:val="24"/>
          <w:szCs w:val="24"/>
        </w:rPr>
      </w:pPr>
      <w:r>
        <w:rPr>
          <w:rFonts w:hint="eastAsia" w:ascii="宋体" w:hAnsi="宋体"/>
          <w:color w:val="000000"/>
          <w:sz w:val="24"/>
        </w:rPr>
        <w:t>联 系 人：</w:t>
      </w:r>
      <w:r>
        <w:rPr>
          <w:rFonts w:hint="eastAsia" w:ascii="宋体" w:hAnsi="宋体"/>
          <w:sz w:val="24"/>
          <w:szCs w:val="24"/>
        </w:rPr>
        <w:t xml:space="preserve">张宁     </w:t>
      </w:r>
    </w:p>
    <w:p>
      <w:pPr>
        <w:pageBreakBefore w:val="0"/>
        <w:widowControl/>
        <w:kinsoku/>
        <w:wordWrap/>
        <w:overflowPunct/>
        <w:topLinePunct w:val="0"/>
        <w:autoSpaceDE/>
        <w:autoSpaceDN/>
        <w:bidi w:val="0"/>
        <w:adjustRightInd/>
        <w:snapToGrid/>
        <w:spacing w:line="216" w:lineRule="auto"/>
        <w:ind w:firstLine="720" w:firstLineChars="300"/>
        <w:textAlignment w:val="auto"/>
        <w:rPr>
          <w:rFonts w:ascii="宋体" w:hAnsi="宋体" w:cs="Arial"/>
          <w:kern w:val="0"/>
          <w:sz w:val="24"/>
        </w:rPr>
      </w:pPr>
      <w:r>
        <w:rPr>
          <w:rFonts w:hint="eastAsia" w:ascii="宋体" w:hAnsi="宋体"/>
          <w:sz w:val="24"/>
        </w:rPr>
        <w:t>联系电</w:t>
      </w:r>
      <w:r>
        <w:rPr>
          <w:rFonts w:hint="eastAsia" w:ascii="宋体" w:hAnsi="宋体"/>
          <w:color w:val="000000"/>
          <w:sz w:val="24"/>
        </w:rPr>
        <w:t>话：</w:t>
      </w:r>
      <w:r>
        <w:rPr>
          <w:rFonts w:hint="eastAsia" w:ascii="宋体" w:hAnsi="宋体"/>
          <w:sz w:val="24"/>
          <w:szCs w:val="24"/>
        </w:rPr>
        <w:t>0431-89859616</w:t>
      </w:r>
    </w:p>
    <w:p>
      <w:pPr>
        <w:pStyle w:val="3"/>
        <w:spacing w:before="0" w:after="0" w:line="500" w:lineRule="exact"/>
        <w:jc w:val="center"/>
        <w:rPr>
          <w:rFonts w:ascii="宋体" w:hAnsi="宋体"/>
        </w:rPr>
      </w:pPr>
      <w:r>
        <w:rPr>
          <w:rFonts w:ascii="宋体" w:hAnsi="宋体" w:cs="Arial"/>
          <w:kern w:val="0"/>
          <w:sz w:val="24"/>
        </w:rPr>
        <w:br w:type="page"/>
      </w:r>
      <w:bookmarkStart w:id="3" w:name="_Toc31791874"/>
      <w:r>
        <w:rPr>
          <w:rFonts w:hint="eastAsia" w:ascii="宋体" w:hAnsi="宋体"/>
        </w:rPr>
        <w:t>第二章 投标人须知</w:t>
      </w:r>
      <w:bookmarkEnd w:id="3"/>
    </w:p>
    <w:p>
      <w:pPr>
        <w:pStyle w:val="4"/>
        <w:spacing w:before="0" w:after="0" w:line="500" w:lineRule="exact"/>
        <w:jc w:val="center"/>
        <w:rPr>
          <w:rFonts w:ascii="宋体" w:hAnsi="宋体"/>
          <w:sz w:val="28"/>
          <w:szCs w:val="28"/>
        </w:rPr>
      </w:pPr>
      <w:bookmarkStart w:id="4" w:name="_Toc31791875"/>
      <w:r>
        <w:rPr>
          <w:rFonts w:hint="eastAsia" w:ascii="宋体" w:hAnsi="宋体"/>
          <w:sz w:val="28"/>
          <w:szCs w:val="28"/>
        </w:rPr>
        <w:t>投标人须知前附表</w:t>
      </w:r>
      <w:bookmarkEnd w:id="4"/>
    </w:p>
    <w:tbl>
      <w:tblPr>
        <w:tblStyle w:val="68"/>
        <w:tblW w:w="10349" w:type="dxa"/>
        <w:tblInd w:w="-31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99"/>
        <w:gridCol w:w="3136"/>
        <w:gridCol w:w="611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trPr>
        <w:tc>
          <w:tcPr>
            <w:tcW w:w="1099" w:type="dxa"/>
            <w:vAlign w:val="center"/>
          </w:tcPr>
          <w:p>
            <w:pPr>
              <w:widowControl w:val="0"/>
              <w:jc w:val="center"/>
              <w:rPr>
                <w:rFonts w:ascii="宋体" w:hAnsi="宋体"/>
                <w:b/>
                <w:szCs w:val="21"/>
              </w:rPr>
            </w:pPr>
            <w:r>
              <w:rPr>
                <w:rFonts w:hint="eastAsia" w:ascii="宋体" w:hAnsi="宋体"/>
                <w:b/>
                <w:szCs w:val="21"/>
              </w:rPr>
              <w:t>条款号</w:t>
            </w:r>
          </w:p>
        </w:tc>
        <w:tc>
          <w:tcPr>
            <w:tcW w:w="3136" w:type="dxa"/>
            <w:vAlign w:val="center"/>
          </w:tcPr>
          <w:p>
            <w:pPr>
              <w:widowControl w:val="0"/>
              <w:jc w:val="center"/>
              <w:rPr>
                <w:rFonts w:ascii="宋体" w:hAnsi="宋体"/>
                <w:b/>
                <w:szCs w:val="21"/>
              </w:rPr>
            </w:pPr>
            <w:r>
              <w:rPr>
                <w:rFonts w:hint="eastAsia" w:ascii="宋体" w:hAnsi="宋体"/>
                <w:b/>
                <w:szCs w:val="21"/>
              </w:rPr>
              <w:t>条款名称</w:t>
            </w:r>
          </w:p>
        </w:tc>
        <w:tc>
          <w:tcPr>
            <w:tcW w:w="6114" w:type="dxa"/>
            <w:vAlign w:val="center"/>
          </w:tcPr>
          <w:p>
            <w:pPr>
              <w:widowControl w:val="0"/>
              <w:jc w:val="center"/>
              <w:rPr>
                <w:rFonts w:ascii="宋体" w:hAnsi="宋体"/>
                <w:b/>
                <w:szCs w:val="21"/>
              </w:rPr>
            </w:pPr>
            <w:r>
              <w:rPr>
                <w:rFonts w:hint="eastAsia" w:ascii="宋体" w:hAnsi="宋体"/>
                <w:b/>
                <w:szCs w:val="21"/>
              </w:rPr>
              <w:t>编列内容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01" w:hRule="atLeast"/>
        </w:trPr>
        <w:tc>
          <w:tcPr>
            <w:tcW w:w="1099" w:type="dxa"/>
            <w:vAlign w:val="center"/>
          </w:tcPr>
          <w:p>
            <w:pPr>
              <w:widowControl w:val="0"/>
              <w:jc w:val="center"/>
              <w:rPr>
                <w:rFonts w:ascii="宋体" w:hAnsi="宋体" w:cs="宋体"/>
                <w:szCs w:val="21"/>
              </w:rPr>
            </w:pPr>
            <w:r>
              <w:rPr>
                <w:rFonts w:hint="eastAsia" w:ascii="宋体" w:hAnsi="宋体" w:cs="宋体"/>
                <w:szCs w:val="21"/>
              </w:rPr>
              <w:t>1.1.2</w:t>
            </w:r>
          </w:p>
        </w:tc>
        <w:tc>
          <w:tcPr>
            <w:tcW w:w="3136" w:type="dxa"/>
            <w:vAlign w:val="center"/>
          </w:tcPr>
          <w:p>
            <w:pPr>
              <w:widowControl w:val="0"/>
              <w:jc w:val="center"/>
              <w:rPr>
                <w:rFonts w:ascii="宋体" w:hAnsi="宋体" w:cs="宋体"/>
                <w:szCs w:val="21"/>
              </w:rPr>
            </w:pPr>
            <w:r>
              <w:rPr>
                <w:rFonts w:hint="eastAsia" w:ascii="宋体" w:hAnsi="宋体" w:cs="宋体"/>
                <w:szCs w:val="21"/>
              </w:rPr>
              <w:t>招标人</w:t>
            </w:r>
          </w:p>
        </w:tc>
        <w:tc>
          <w:tcPr>
            <w:tcW w:w="6114" w:type="dxa"/>
            <w:vAlign w:val="center"/>
          </w:tcPr>
          <w:p>
            <w:pPr>
              <w:widowControl w:val="0"/>
              <w:spacing w:line="360" w:lineRule="exact"/>
              <w:rPr>
                <w:rFonts w:ascii="宋体" w:hAnsi="宋体" w:cs="宋体"/>
                <w:szCs w:val="21"/>
              </w:rPr>
            </w:pPr>
            <w:r>
              <w:rPr>
                <w:rFonts w:ascii="宋体" w:hAnsi="宋体" w:cs="宋体"/>
                <w:szCs w:val="21"/>
              </w:rPr>
              <w:t>名称：</w:t>
            </w:r>
            <w:r>
              <w:rPr>
                <w:rFonts w:hint="eastAsia" w:ascii="宋体" w:hAnsi="宋体" w:cs="宋体"/>
                <w:szCs w:val="21"/>
              </w:rPr>
              <w:t>松原灌区大安工程建设管理指挥部办公室</w:t>
            </w:r>
          </w:p>
          <w:p>
            <w:pPr>
              <w:widowControl w:val="0"/>
              <w:spacing w:line="360" w:lineRule="exact"/>
              <w:rPr>
                <w:rFonts w:ascii="宋体" w:hAnsi="宋体" w:cs="宋体"/>
                <w:szCs w:val="21"/>
              </w:rPr>
            </w:pPr>
            <w:r>
              <w:rPr>
                <w:rFonts w:ascii="宋体" w:hAnsi="宋体" w:cs="宋体"/>
                <w:szCs w:val="21"/>
              </w:rPr>
              <w:t>地址</w:t>
            </w:r>
            <w:r>
              <w:rPr>
                <w:rFonts w:hint="eastAsia" w:ascii="宋体" w:hAnsi="宋体" w:cs="宋体"/>
                <w:szCs w:val="21"/>
              </w:rPr>
              <w:t>：大安市康平北街</w:t>
            </w:r>
          </w:p>
          <w:p>
            <w:pPr>
              <w:widowControl w:val="0"/>
              <w:spacing w:line="360" w:lineRule="exact"/>
              <w:rPr>
                <w:rFonts w:ascii="宋体" w:hAnsi="宋体" w:cs="宋体"/>
                <w:szCs w:val="21"/>
              </w:rPr>
            </w:pPr>
            <w:r>
              <w:rPr>
                <w:rFonts w:ascii="宋体" w:hAnsi="宋体" w:cs="宋体"/>
                <w:szCs w:val="21"/>
              </w:rPr>
              <w:t>联系人：</w:t>
            </w:r>
            <w:r>
              <w:rPr>
                <w:rFonts w:hint="eastAsia" w:ascii="宋体" w:hAnsi="宋体" w:cs="宋体"/>
                <w:szCs w:val="21"/>
              </w:rPr>
              <w:t>周瞳</w:t>
            </w:r>
          </w:p>
          <w:p>
            <w:pPr>
              <w:widowControl w:val="0"/>
              <w:spacing w:line="360" w:lineRule="exact"/>
              <w:rPr>
                <w:rFonts w:ascii="宋体" w:hAnsi="宋体" w:cs="宋体"/>
                <w:szCs w:val="21"/>
              </w:rPr>
            </w:pPr>
            <w:r>
              <w:rPr>
                <w:rFonts w:ascii="宋体" w:hAnsi="宋体" w:cs="宋体"/>
                <w:szCs w:val="21"/>
              </w:rPr>
              <w:t>电话：0436-5265080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01" w:hRule="atLeast"/>
        </w:trPr>
        <w:tc>
          <w:tcPr>
            <w:tcW w:w="1099" w:type="dxa"/>
            <w:vAlign w:val="center"/>
          </w:tcPr>
          <w:p>
            <w:pPr>
              <w:widowControl w:val="0"/>
              <w:jc w:val="center"/>
              <w:rPr>
                <w:rFonts w:ascii="宋体" w:hAnsi="宋体" w:cs="宋体"/>
                <w:szCs w:val="21"/>
              </w:rPr>
            </w:pPr>
            <w:r>
              <w:rPr>
                <w:rFonts w:hint="eastAsia" w:ascii="宋体" w:hAnsi="宋体" w:cs="宋体"/>
                <w:szCs w:val="21"/>
              </w:rPr>
              <w:t>1.1.3</w:t>
            </w:r>
          </w:p>
        </w:tc>
        <w:tc>
          <w:tcPr>
            <w:tcW w:w="3136" w:type="dxa"/>
            <w:vAlign w:val="center"/>
          </w:tcPr>
          <w:p>
            <w:pPr>
              <w:widowControl w:val="0"/>
              <w:jc w:val="center"/>
              <w:rPr>
                <w:rFonts w:ascii="宋体" w:hAnsi="宋体" w:cs="宋体"/>
                <w:szCs w:val="21"/>
              </w:rPr>
            </w:pPr>
            <w:r>
              <w:rPr>
                <w:rFonts w:hint="eastAsia" w:ascii="宋体" w:hAnsi="宋体" w:cs="宋体"/>
                <w:szCs w:val="21"/>
              </w:rPr>
              <w:t>招标代理机构</w:t>
            </w:r>
          </w:p>
        </w:tc>
        <w:tc>
          <w:tcPr>
            <w:tcW w:w="6114" w:type="dxa"/>
            <w:vAlign w:val="center"/>
          </w:tcPr>
          <w:p>
            <w:pPr>
              <w:widowControl w:val="0"/>
              <w:spacing w:line="360" w:lineRule="exact"/>
              <w:rPr>
                <w:rFonts w:ascii="宋体" w:hAnsi="宋体" w:cs="宋体"/>
                <w:szCs w:val="21"/>
              </w:rPr>
            </w:pPr>
            <w:r>
              <w:rPr>
                <w:rFonts w:ascii="宋体" w:hAnsi="宋体" w:cs="宋体"/>
                <w:szCs w:val="21"/>
              </w:rPr>
              <w:t>名称：</w:t>
            </w:r>
            <w:r>
              <w:rPr>
                <w:rFonts w:hint="eastAsia" w:ascii="宋体" w:hAnsi="宋体" w:cs="宋体"/>
                <w:szCs w:val="21"/>
              </w:rPr>
              <w:t>北京泛华国金工程咨询有限公司</w:t>
            </w:r>
          </w:p>
          <w:p>
            <w:pPr>
              <w:widowControl w:val="0"/>
              <w:spacing w:line="360" w:lineRule="exact"/>
              <w:rPr>
                <w:rFonts w:ascii="宋体" w:hAnsi="宋体" w:cs="宋体"/>
                <w:szCs w:val="21"/>
              </w:rPr>
            </w:pPr>
            <w:r>
              <w:rPr>
                <w:rFonts w:ascii="宋体" w:hAnsi="宋体" w:cs="宋体"/>
                <w:szCs w:val="21"/>
              </w:rPr>
              <w:t>地址：</w:t>
            </w:r>
            <w:r>
              <w:rPr>
                <w:rFonts w:hint="eastAsia" w:ascii="宋体" w:hAnsi="宋体" w:cs="宋体"/>
                <w:szCs w:val="21"/>
              </w:rPr>
              <w:t>长春市南关区蔚山路与幸福街交汇陶然庭苑19栋6楼</w:t>
            </w:r>
          </w:p>
          <w:p>
            <w:pPr>
              <w:widowControl w:val="0"/>
              <w:spacing w:line="360" w:lineRule="exact"/>
              <w:rPr>
                <w:rFonts w:ascii="宋体" w:hAnsi="宋体" w:cs="宋体"/>
                <w:szCs w:val="21"/>
              </w:rPr>
            </w:pPr>
            <w:r>
              <w:rPr>
                <w:rFonts w:ascii="宋体" w:hAnsi="宋体" w:cs="宋体"/>
                <w:szCs w:val="21"/>
              </w:rPr>
              <w:t>联系人：</w:t>
            </w:r>
            <w:r>
              <w:rPr>
                <w:rFonts w:hint="eastAsia" w:ascii="宋体" w:hAnsi="宋体" w:cs="宋体"/>
                <w:szCs w:val="21"/>
              </w:rPr>
              <w:t>张宁</w:t>
            </w:r>
          </w:p>
          <w:p>
            <w:pPr>
              <w:widowControl w:val="0"/>
              <w:spacing w:line="360" w:lineRule="exact"/>
              <w:rPr>
                <w:rFonts w:ascii="宋体" w:hAnsi="宋体" w:cs="宋体"/>
                <w:szCs w:val="21"/>
              </w:rPr>
            </w:pPr>
            <w:r>
              <w:rPr>
                <w:rFonts w:ascii="宋体" w:hAnsi="宋体" w:cs="宋体"/>
                <w:szCs w:val="21"/>
              </w:rPr>
              <w:t>电话：</w:t>
            </w:r>
            <w:r>
              <w:rPr>
                <w:rFonts w:hint="eastAsia" w:ascii="宋体" w:hAnsi="宋体" w:cs="宋体"/>
                <w:szCs w:val="21"/>
              </w:rPr>
              <w:t>0431-89859616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9" w:hRule="exact"/>
        </w:trPr>
        <w:tc>
          <w:tcPr>
            <w:tcW w:w="1099" w:type="dxa"/>
            <w:vAlign w:val="center"/>
          </w:tcPr>
          <w:p>
            <w:pPr>
              <w:widowControl w:val="0"/>
              <w:spacing w:line="360" w:lineRule="exact"/>
              <w:jc w:val="center"/>
              <w:rPr>
                <w:rFonts w:ascii="宋体" w:hAnsi="宋体" w:cs="宋体"/>
                <w:szCs w:val="21"/>
              </w:rPr>
            </w:pPr>
            <w:r>
              <w:rPr>
                <w:rFonts w:hint="eastAsia" w:ascii="宋体" w:hAnsi="宋体" w:cs="宋体"/>
                <w:szCs w:val="21"/>
              </w:rPr>
              <w:t>1.1.4</w:t>
            </w:r>
          </w:p>
        </w:tc>
        <w:tc>
          <w:tcPr>
            <w:tcW w:w="3136" w:type="dxa"/>
            <w:vAlign w:val="center"/>
          </w:tcPr>
          <w:p>
            <w:pPr>
              <w:widowControl w:val="0"/>
              <w:spacing w:line="360" w:lineRule="exact"/>
              <w:jc w:val="center"/>
              <w:rPr>
                <w:rFonts w:ascii="宋体" w:hAnsi="宋体" w:cs="宋体"/>
                <w:szCs w:val="21"/>
              </w:rPr>
            </w:pPr>
            <w:r>
              <w:rPr>
                <w:rFonts w:hint="eastAsia" w:ascii="宋体" w:hAnsi="宋体" w:cs="宋体"/>
                <w:szCs w:val="21"/>
              </w:rPr>
              <w:t>招标项目名称</w:t>
            </w:r>
          </w:p>
        </w:tc>
        <w:tc>
          <w:tcPr>
            <w:tcW w:w="6114" w:type="dxa"/>
            <w:vAlign w:val="center"/>
          </w:tcPr>
          <w:p>
            <w:pPr>
              <w:widowControl w:val="0"/>
              <w:spacing w:line="320" w:lineRule="exact"/>
              <w:jc w:val="left"/>
              <w:rPr>
                <w:rFonts w:ascii="宋体" w:hAnsi="宋体" w:cs="宋体"/>
                <w:szCs w:val="21"/>
              </w:rPr>
            </w:pPr>
            <w:r>
              <w:rPr>
                <w:rFonts w:hint="eastAsia" w:ascii="宋体" w:hAnsi="宋体" w:cs="宋体"/>
                <w:szCs w:val="21"/>
              </w:rPr>
              <w:t>吉林省哈达山松原灌区大安龙海灌片工程（渠系闸门电气设备、渠系闸门视频监视设备、通讯设备等采购）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9" w:hRule="exact"/>
        </w:trPr>
        <w:tc>
          <w:tcPr>
            <w:tcW w:w="1099" w:type="dxa"/>
            <w:vAlign w:val="center"/>
          </w:tcPr>
          <w:p>
            <w:pPr>
              <w:widowControl w:val="0"/>
              <w:spacing w:line="360" w:lineRule="exact"/>
              <w:jc w:val="center"/>
              <w:rPr>
                <w:rFonts w:ascii="宋体" w:hAnsi="宋体" w:cs="宋体"/>
                <w:szCs w:val="21"/>
              </w:rPr>
            </w:pPr>
            <w:r>
              <w:rPr>
                <w:rFonts w:hint="eastAsia" w:ascii="宋体" w:hAnsi="宋体" w:cs="宋体"/>
                <w:szCs w:val="21"/>
              </w:rPr>
              <w:t>1.1.5</w:t>
            </w:r>
          </w:p>
        </w:tc>
        <w:tc>
          <w:tcPr>
            <w:tcW w:w="3136" w:type="dxa"/>
            <w:vAlign w:val="center"/>
          </w:tcPr>
          <w:p>
            <w:pPr>
              <w:widowControl w:val="0"/>
              <w:spacing w:line="360" w:lineRule="exact"/>
              <w:jc w:val="center"/>
              <w:rPr>
                <w:rFonts w:ascii="宋体" w:hAnsi="宋体" w:cs="宋体"/>
                <w:szCs w:val="21"/>
              </w:rPr>
            </w:pPr>
            <w:r>
              <w:rPr>
                <w:rFonts w:hint="eastAsia" w:ascii="宋体" w:hAnsi="宋体" w:cs="宋体"/>
                <w:szCs w:val="21"/>
              </w:rPr>
              <w:t>工程项目名称</w:t>
            </w:r>
          </w:p>
        </w:tc>
        <w:tc>
          <w:tcPr>
            <w:tcW w:w="6114" w:type="dxa"/>
            <w:vAlign w:val="center"/>
          </w:tcPr>
          <w:p>
            <w:pPr>
              <w:widowControl w:val="0"/>
              <w:spacing w:line="360" w:lineRule="exact"/>
              <w:jc w:val="left"/>
              <w:rPr>
                <w:rFonts w:ascii="宋体" w:hAnsi="宋体" w:cs="宋体"/>
                <w:szCs w:val="21"/>
              </w:rPr>
            </w:pPr>
            <w:r>
              <w:rPr>
                <w:rFonts w:hint="eastAsia" w:ascii="宋体" w:hAnsi="宋体" w:cs="宋体"/>
                <w:szCs w:val="21"/>
              </w:rPr>
              <w:t>吉林省哈达山松原灌区大安龙海灌片工程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9" w:hRule="exact"/>
        </w:trPr>
        <w:tc>
          <w:tcPr>
            <w:tcW w:w="1099" w:type="dxa"/>
            <w:vAlign w:val="center"/>
          </w:tcPr>
          <w:p>
            <w:pPr>
              <w:widowControl w:val="0"/>
              <w:spacing w:line="360" w:lineRule="exact"/>
              <w:jc w:val="center"/>
              <w:rPr>
                <w:rFonts w:ascii="宋体" w:hAnsi="宋体" w:cs="宋体"/>
                <w:szCs w:val="21"/>
              </w:rPr>
            </w:pPr>
            <w:r>
              <w:rPr>
                <w:rFonts w:hint="eastAsia" w:ascii="宋体" w:hAnsi="宋体" w:cs="宋体"/>
                <w:szCs w:val="21"/>
              </w:rPr>
              <w:t>1.2.1</w:t>
            </w:r>
          </w:p>
        </w:tc>
        <w:tc>
          <w:tcPr>
            <w:tcW w:w="3136" w:type="dxa"/>
            <w:vAlign w:val="center"/>
          </w:tcPr>
          <w:p>
            <w:pPr>
              <w:widowControl w:val="0"/>
              <w:spacing w:line="360" w:lineRule="exact"/>
              <w:jc w:val="center"/>
              <w:rPr>
                <w:rFonts w:ascii="宋体" w:hAnsi="宋体" w:cs="宋体"/>
                <w:szCs w:val="21"/>
              </w:rPr>
            </w:pPr>
            <w:r>
              <w:rPr>
                <w:rFonts w:hint="eastAsia" w:ascii="宋体" w:hAnsi="宋体" w:cs="宋体"/>
                <w:szCs w:val="21"/>
              </w:rPr>
              <w:t>资金来源及比例</w:t>
            </w:r>
          </w:p>
        </w:tc>
        <w:tc>
          <w:tcPr>
            <w:tcW w:w="6114" w:type="dxa"/>
            <w:vAlign w:val="center"/>
          </w:tcPr>
          <w:p>
            <w:pPr>
              <w:widowControl w:val="0"/>
              <w:spacing w:line="360" w:lineRule="exact"/>
              <w:rPr>
                <w:rFonts w:ascii="宋体" w:hAnsi="宋体" w:cs="宋体"/>
                <w:szCs w:val="21"/>
              </w:rPr>
            </w:pPr>
            <w:r>
              <w:rPr>
                <w:rFonts w:hint="eastAsia" w:ascii="宋体" w:hAnsi="宋体" w:cs="宋体"/>
                <w:szCs w:val="21"/>
              </w:rPr>
              <w:t>中央及地方配套资金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9" w:hRule="exact"/>
        </w:trPr>
        <w:tc>
          <w:tcPr>
            <w:tcW w:w="1099" w:type="dxa"/>
            <w:vAlign w:val="center"/>
          </w:tcPr>
          <w:p>
            <w:pPr>
              <w:widowControl w:val="0"/>
              <w:spacing w:line="360" w:lineRule="exact"/>
              <w:jc w:val="center"/>
              <w:rPr>
                <w:rFonts w:ascii="宋体" w:hAnsi="宋体" w:cs="宋体"/>
                <w:szCs w:val="21"/>
              </w:rPr>
            </w:pPr>
            <w:r>
              <w:rPr>
                <w:rFonts w:hint="eastAsia" w:ascii="宋体" w:hAnsi="宋体" w:cs="宋体"/>
                <w:szCs w:val="21"/>
              </w:rPr>
              <w:t>1.2.2</w:t>
            </w:r>
          </w:p>
        </w:tc>
        <w:tc>
          <w:tcPr>
            <w:tcW w:w="3136" w:type="dxa"/>
            <w:vAlign w:val="center"/>
          </w:tcPr>
          <w:p>
            <w:pPr>
              <w:adjustRightInd w:val="0"/>
              <w:snapToGrid w:val="0"/>
              <w:spacing w:line="300" w:lineRule="exact"/>
              <w:jc w:val="center"/>
              <w:rPr>
                <w:rFonts w:ascii="宋体" w:hAnsi="宋体" w:cs="Arial"/>
              </w:rPr>
            </w:pPr>
            <w:r>
              <w:rPr>
                <w:rFonts w:ascii="宋体" w:hAnsi="宋体" w:cs="宋体"/>
                <w:szCs w:val="21"/>
              </w:rPr>
              <w:t>资金</w:t>
            </w:r>
            <w:r>
              <w:rPr>
                <w:rFonts w:ascii="宋体" w:hAnsi="宋体" w:cs="宋体"/>
                <w:spacing w:val="-2"/>
                <w:szCs w:val="21"/>
              </w:rPr>
              <w:t>落</w:t>
            </w:r>
            <w:r>
              <w:rPr>
                <w:rFonts w:ascii="宋体" w:hAnsi="宋体" w:cs="宋体"/>
                <w:szCs w:val="21"/>
              </w:rPr>
              <w:t>实</w:t>
            </w:r>
            <w:r>
              <w:rPr>
                <w:rFonts w:ascii="宋体" w:hAnsi="宋体" w:cs="宋体"/>
                <w:spacing w:val="-2"/>
                <w:szCs w:val="21"/>
              </w:rPr>
              <w:t>情</w:t>
            </w:r>
            <w:r>
              <w:rPr>
                <w:rFonts w:ascii="宋体" w:hAnsi="宋体" w:cs="宋体"/>
                <w:szCs w:val="21"/>
              </w:rPr>
              <w:t>况</w:t>
            </w:r>
          </w:p>
        </w:tc>
        <w:tc>
          <w:tcPr>
            <w:tcW w:w="6114" w:type="dxa"/>
            <w:vAlign w:val="center"/>
          </w:tcPr>
          <w:p>
            <w:pPr>
              <w:widowControl w:val="0"/>
              <w:adjustRightInd w:val="0"/>
              <w:snapToGrid w:val="0"/>
              <w:spacing w:line="340" w:lineRule="exact"/>
              <w:rPr>
                <w:rFonts w:ascii="宋体" w:hAnsi="宋体" w:cs="宋体"/>
                <w:szCs w:val="21"/>
              </w:rPr>
            </w:pPr>
            <w:r>
              <w:rPr>
                <w:rFonts w:hint="eastAsia" w:ascii="宋体" w:hAnsi="宋体" w:cs="宋体"/>
                <w:bCs/>
                <w:szCs w:val="21"/>
              </w:rPr>
              <w:t>已落实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9" w:hRule="exact"/>
        </w:trPr>
        <w:tc>
          <w:tcPr>
            <w:tcW w:w="1099" w:type="dxa"/>
            <w:vAlign w:val="center"/>
          </w:tcPr>
          <w:p>
            <w:pPr>
              <w:widowControl w:val="0"/>
              <w:adjustRightInd w:val="0"/>
              <w:snapToGrid w:val="0"/>
              <w:jc w:val="center"/>
              <w:rPr>
                <w:rFonts w:ascii="宋体" w:hAnsi="宋体" w:cs="Arial"/>
              </w:rPr>
            </w:pPr>
            <w:r>
              <w:rPr>
                <w:rFonts w:hint="eastAsia" w:ascii="宋体" w:hAnsi="宋体" w:cs="Arial"/>
              </w:rPr>
              <w:t>1.3.1</w:t>
            </w:r>
          </w:p>
        </w:tc>
        <w:tc>
          <w:tcPr>
            <w:tcW w:w="3136" w:type="dxa"/>
            <w:vAlign w:val="center"/>
          </w:tcPr>
          <w:p>
            <w:pPr>
              <w:adjustRightInd w:val="0"/>
              <w:snapToGrid w:val="0"/>
              <w:spacing w:line="300" w:lineRule="exact"/>
              <w:jc w:val="center"/>
              <w:rPr>
                <w:rFonts w:ascii="宋体" w:hAnsi="宋体" w:cs="Arial"/>
                <w:color w:val="000000"/>
              </w:rPr>
            </w:pPr>
            <w:r>
              <w:rPr>
                <w:rFonts w:ascii="宋体" w:hAnsi="宋体" w:cs="宋体"/>
                <w:szCs w:val="21"/>
              </w:rPr>
              <w:t>招标</w:t>
            </w:r>
            <w:r>
              <w:rPr>
                <w:rFonts w:ascii="宋体" w:hAnsi="宋体" w:cs="宋体"/>
                <w:spacing w:val="-2"/>
                <w:szCs w:val="21"/>
              </w:rPr>
              <w:t>范</w:t>
            </w:r>
            <w:r>
              <w:rPr>
                <w:rFonts w:ascii="宋体" w:hAnsi="宋体" w:cs="宋体"/>
                <w:szCs w:val="21"/>
              </w:rPr>
              <w:t>围</w:t>
            </w:r>
          </w:p>
        </w:tc>
        <w:tc>
          <w:tcPr>
            <w:tcW w:w="6114" w:type="dxa"/>
            <w:vAlign w:val="center"/>
          </w:tcPr>
          <w:p>
            <w:pPr>
              <w:widowControl w:val="0"/>
              <w:spacing w:line="360" w:lineRule="exact"/>
              <w:rPr>
                <w:rFonts w:ascii="宋体" w:hAnsi="宋体"/>
                <w:bCs/>
                <w:szCs w:val="21"/>
              </w:rPr>
            </w:pPr>
            <w:r>
              <w:rPr>
                <w:rFonts w:hint="eastAsia" w:ascii="宋体" w:hAnsi="宋体"/>
                <w:bCs/>
                <w:szCs w:val="21"/>
              </w:rPr>
              <w:t>渠系闸门电气设备、渠系闸门视频监视设备、通讯设备等采购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9" w:hRule="exact"/>
        </w:trPr>
        <w:tc>
          <w:tcPr>
            <w:tcW w:w="1099" w:type="dxa"/>
            <w:vAlign w:val="center"/>
          </w:tcPr>
          <w:p>
            <w:pPr>
              <w:widowControl w:val="0"/>
              <w:adjustRightInd w:val="0"/>
              <w:snapToGrid w:val="0"/>
              <w:jc w:val="center"/>
              <w:rPr>
                <w:rFonts w:ascii="宋体" w:hAnsi="宋体" w:cs="Arial"/>
              </w:rPr>
            </w:pPr>
            <w:r>
              <w:rPr>
                <w:rFonts w:hint="eastAsia" w:ascii="宋体" w:hAnsi="宋体" w:cs="Arial"/>
              </w:rPr>
              <w:t>1.3.2</w:t>
            </w:r>
          </w:p>
        </w:tc>
        <w:tc>
          <w:tcPr>
            <w:tcW w:w="3136" w:type="dxa"/>
            <w:vAlign w:val="center"/>
          </w:tcPr>
          <w:p>
            <w:pPr>
              <w:adjustRightInd w:val="0"/>
              <w:snapToGrid w:val="0"/>
              <w:spacing w:line="300" w:lineRule="exact"/>
              <w:jc w:val="center"/>
              <w:rPr>
                <w:rFonts w:ascii="宋体" w:hAnsi="宋体" w:cs="Arial"/>
                <w:color w:val="000000"/>
              </w:rPr>
            </w:pPr>
            <w:r>
              <w:rPr>
                <w:rFonts w:hint="eastAsia" w:ascii="宋体" w:hAnsi="宋体" w:cs="Arial"/>
                <w:bCs/>
                <w:color w:val="000000"/>
              </w:rPr>
              <w:t>交货日期</w:t>
            </w:r>
          </w:p>
        </w:tc>
        <w:tc>
          <w:tcPr>
            <w:tcW w:w="6114" w:type="dxa"/>
            <w:vAlign w:val="center"/>
          </w:tcPr>
          <w:p>
            <w:pPr>
              <w:widowControl w:val="0"/>
              <w:spacing w:line="340" w:lineRule="exact"/>
              <w:rPr>
                <w:rFonts w:ascii="宋体" w:hAnsi="宋体" w:cs="宋体"/>
                <w:snapToGrid w:val="0"/>
                <w:kern w:val="0"/>
                <w:szCs w:val="21"/>
              </w:rPr>
            </w:pPr>
            <w:r>
              <w:rPr>
                <w:rFonts w:hint="eastAsia" w:ascii="宋体" w:hAnsi="宋体" w:cs="宋体"/>
                <w:bCs/>
                <w:snapToGrid w:val="0"/>
                <w:kern w:val="0"/>
                <w:szCs w:val="21"/>
              </w:rPr>
              <w:t>2020年12月31日前按业主要求陆续供货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9" w:hRule="exact"/>
        </w:trPr>
        <w:tc>
          <w:tcPr>
            <w:tcW w:w="1099" w:type="dxa"/>
            <w:vAlign w:val="center"/>
          </w:tcPr>
          <w:p>
            <w:pPr>
              <w:widowControl w:val="0"/>
              <w:adjustRightInd w:val="0"/>
              <w:snapToGrid w:val="0"/>
              <w:jc w:val="center"/>
              <w:rPr>
                <w:rFonts w:ascii="宋体" w:hAnsi="宋体" w:cs="Arial"/>
              </w:rPr>
            </w:pPr>
            <w:r>
              <w:rPr>
                <w:rFonts w:hint="eastAsia" w:ascii="宋体" w:hAnsi="宋体" w:cs="Arial"/>
              </w:rPr>
              <w:t>1.3.3</w:t>
            </w:r>
          </w:p>
        </w:tc>
        <w:tc>
          <w:tcPr>
            <w:tcW w:w="3136" w:type="dxa"/>
            <w:vAlign w:val="center"/>
          </w:tcPr>
          <w:p>
            <w:pPr>
              <w:adjustRightInd w:val="0"/>
              <w:snapToGrid w:val="0"/>
              <w:spacing w:line="300" w:lineRule="exact"/>
              <w:jc w:val="center"/>
              <w:rPr>
                <w:rFonts w:ascii="宋体" w:hAnsi="宋体" w:cs="Arial"/>
              </w:rPr>
            </w:pPr>
            <w:r>
              <w:rPr>
                <w:rFonts w:hint="eastAsia" w:ascii="宋体" w:hAnsi="宋体" w:cs="宋体"/>
                <w:szCs w:val="21"/>
              </w:rPr>
              <w:t>交货</w:t>
            </w:r>
            <w:r>
              <w:rPr>
                <w:rFonts w:ascii="宋体" w:hAnsi="宋体" w:cs="宋体"/>
                <w:spacing w:val="-2"/>
                <w:szCs w:val="21"/>
              </w:rPr>
              <w:t>地</w:t>
            </w:r>
            <w:r>
              <w:rPr>
                <w:rFonts w:ascii="宋体" w:hAnsi="宋体" w:cs="宋体"/>
                <w:szCs w:val="21"/>
              </w:rPr>
              <w:t>点</w:t>
            </w:r>
          </w:p>
        </w:tc>
        <w:tc>
          <w:tcPr>
            <w:tcW w:w="6114" w:type="dxa"/>
            <w:vAlign w:val="center"/>
          </w:tcPr>
          <w:p>
            <w:pPr>
              <w:widowControl w:val="0"/>
              <w:spacing w:line="340" w:lineRule="exact"/>
              <w:jc w:val="left"/>
              <w:rPr>
                <w:rFonts w:ascii="宋体" w:hAnsi="宋体" w:cs="宋体"/>
                <w:szCs w:val="21"/>
              </w:rPr>
            </w:pPr>
            <w:r>
              <w:rPr>
                <w:rFonts w:hint="eastAsia" w:ascii="宋体" w:hAnsi="宋体" w:cs="宋体"/>
                <w:szCs w:val="21"/>
              </w:rPr>
              <w:t>吉林省哈达山松原灌区大安龙海灌片工程施工现场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9" w:hRule="exact"/>
        </w:trPr>
        <w:tc>
          <w:tcPr>
            <w:tcW w:w="1099" w:type="dxa"/>
            <w:vAlign w:val="center"/>
          </w:tcPr>
          <w:p>
            <w:pPr>
              <w:widowControl w:val="0"/>
              <w:spacing w:line="360" w:lineRule="exact"/>
              <w:jc w:val="center"/>
              <w:rPr>
                <w:rFonts w:ascii="宋体" w:hAnsi="宋体" w:cs="宋体"/>
                <w:szCs w:val="21"/>
              </w:rPr>
            </w:pPr>
            <w:r>
              <w:rPr>
                <w:rFonts w:hint="eastAsia" w:ascii="宋体" w:hAnsi="宋体" w:cs="宋体"/>
                <w:szCs w:val="21"/>
              </w:rPr>
              <w:t>1.3.4</w:t>
            </w:r>
          </w:p>
        </w:tc>
        <w:tc>
          <w:tcPr>
            <w:tcW w:w="3136" w:type="dxa"/>
            <w:vAlign w:val="center"/>
          </w:tcPr>
          <w:p>
            <w:pPr>
              <w:widowControl w:val="0"/>
              <w:spacing w:line="340" w:lineRule="exact"/>
              <w:jc w:val="center"/>
              <w:rPr>
                <w:rFonts w:ascii="宋体" w:hAnsi="宋体" w:cs="宋体"/>
                <w:bCs/>
                <w:szCs w:val="21"/>
              </w:rPr>
            </w:pPr>
            <w:r>
              <w:rPr>
                <w:rFonts w:hint="eastAsia" w:ascii="宋体" w:hAnsi="宋体" w:cs="宋体"/>
                <w:bCs/>
                <w:szCs w:val="21"/>
              </w:rPr>
              <w:t>技术性能指标</w:t>
            </w:r>
          </w:p>
        </w:tc>
        <w:tc>
          <w:tcPr>
            <w:tcW w:w="6114" w:type="dxa"/>
            <w:vAlign w:val="center"/>
          </w:tcPr>
          <w:p>
            <w:pPr>
              <w:widowControl w:val="0"/>
              <w:spacing w:line="340" w:lineRule="exact"/>
              <w:jc w:val="left"/>
              <w:rPr>
                <w:rFonts w:ascii="宋体" w:hAnsi="宋体" w:cs="宋体"/>
                <w:bCs/>
                <w:szCs w:val="21"/>
              </w:rPr>
            </w:pPr>
            <w:r>
              <w:rPr>
                <w:rFonts w:hint="eastAsia" w:ascii="宋体" w:hAnsi="宋体" w:cs="宋体"/>
                <w:bCs/>
                <w:szCs w:val="21"/>
              </w:rPr>
              <w:t>符合国家现行相关行业标准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73" w:hRule="exact"/>
        </w:trPr>
        <w:tc>
          <w:tcPr>
            <w:tcW w:w="1099" w:type="dxa"/>
            <w:vAlign w:val="center"/>
          </w:tcPr>
          <w:p>
            <w:pPr>
              <w:widowControl w:val="0"/>
              <w:adjustRightInd w:val="0"/>
              <w:snapToGrid w:val="0"/>
              <w:jc w:val="center"/>
              <w:rPr>
                <w:rFonts w:ascii="宋体" w:hAnsi="宋体" w:cs="Arial"/>
              </w:rPr>
            </w:pPr>
            <w:r>
              <w:rPr>
                <w:rFonts w:hint="eastAsia" w:ascii="宋体" w:hAnsi="宋体" w:cs="Arial"/>
              </w:rPr>
              <w:t>1.4.1</w:t>
            </w:r>
          </w:p>
        </w:tc>
        <w:tc>
          <w:tcPr>
            <w:tcW w:w="3136" w:type="dxa"/>
            <w:vAlign w:val="center"/>
          </w:tcPr>
          <w:p>
            <w:pPr>
              <w:ind w:right="-20"/>
              <w:jc w:val="center"/>
              <w:rPr>
                <w:rFonts w:ascii="宋体" w:hAnsi="宋体" w:cs="Arial"/>
                <w:szCs w:val="21"/>
              </w:rPr>
            </w:pPr>
            <w:r>
              <w:rPr>
                <w:rFonts w:ascii="宋体" w:hAnsi="宋体" w:cs="宋体"/>
                <w:szCs w:val="21"/>
              </w:rPr>
              <w:t>投标</w:t>
            </w:r>
            <w:r>
              <w:rPr>
                <w:rFonts w:ascii="宋体" w:hAnsi="宋体" w:cs="宋体"/>
                <w:spacing w:val="-2"/>
                <w:szCs w:val="21"/>
              </w:rPr>
              <w:t>人</w:t>
            </w:r>
            <w:r>
              <w:rPr>
                <w:rFonts w:ascii="宋体" w:hAnsi="宋体" w:cs="宋体"/>
                <w:szCs w:val="21"/>
              </w:rPr>
              <w:t>资</w:t>
            </w:r>
            <w:r>
              <w:rPr>
                <w:rFonts w:ascii="宋体" w:hAnsi="宋体" w:cs="宋体"/>
                <w:spacing w:val="-2"/>
                <w:szCs w:val="21"/>
              </w:rPr>
              <w:t>质</w:t>
            </w:r>
            <w:r>
              <w:rPr>
                <w:rFonts w:ascii="宋体" w:hAnsi="宋体" w:cs="宋体"/>
                <w:szCs w:val="21"/>
              </w:rPr>
              <w:t>条</w:t>
            </w:r>
            <w:r>
              <w:rPr>
                <w:rFonts w:ascii="宋体" w:hAnsi="宋体" w:cs="宋体"/>
                <w:spacing w:val="-2"/>
                <w:szCs w:val="21"/>
              </w:rPr>
              <w:t>件</w:t>
            </w:r>
            <w:r>
              <w:rPr>
                <w:rFonts w:ascii="宋体" w:hAnsi="宋体" w:cs="宋体"/>
                <w:szCs w:val="21"/>
              </w:rPr>
              <w:t>、</w:t>
            </w:r>
            <w:r>
              <w:rPr>
                <w:rFonts w:ascii="宋体" w:hAnsi="宋体" w:cs="宋体"/>
                <w:spacing w:val="-2"/>
                <w:szCs w:val="21"/>
              </w:rPr>
              <w:t>能</w:t>
            </w:r>
            <w:r>
              <w:rPr>
                <w:rFonts w:ascii="宋体" w:hAnsi="宋体" w:cs="宋体"/>
                <w:szCs w:val="21"/>
              </w:rPr>
              <w:t>力</w:t>
            </w:r>
            <w:r>
              <w:rPr>
                <w:rFonts w:ascii="宋体" w:hAnsi="宋体" w:cs="宋体"/>
                <w:spacing w:val="-2"/>
                <w:szCs w:val="21"/>
              </w:rPr>
              <w:t>、</w:t>
            </w:r>
            <w:r>
              <w:rPr>
                <w:rFonts w:ascii="宋体" w:hAnsi="宋体" w:cs="宋体"/>
                <w:szCs w:val="21"/>
              </w:rPr>
              <w:t>信誉</w:t>
            </w:r>
          </w:p>
        </w:tc>
        <w:tc>
          <w:tcPr>
            <w:tcW w:w="6114" w:type="dxa"/>
            <w:vAlign w:val="center"/>
          </w:tcPr>
          <w:p>
            <w:pPr>
              <w:widowControl w:val="0"/>
              <w:spacing w:line="340" w:lineRule="exact"/>
              <w:rPr>
                <w:rFonts w:ascii="宋体" w:hAnsi="宋体" w:cs="宋体"/>
                <w:szCs w:val="21"/>
              </w:rPr>
            </w:pPr>
            <w:r>
              <w:rPr>
                <w:rFonts w:hint="eastAsia" w:ascii="宋体" w:hAnsi="宋体" w:cs="宋体"/>
                <w:szCs w:val="21"/>
              </w:rPr>
              <w:t>（1）资质要求：具有独立法人资格的生产厂家或经销商；</w:t>
            </w:r>
          </w:p>
          <w:p>
            <w:pPr>
              <w:widowControl w:val="0"/>
              <w:spacing w:line="340" w:lineRule="exact"/>
              <w:rPr>
                <w:rFonts w:ascii="宋体" w:hAnsi="宋体" w:cs="宋体"/>
                <w:szCs w:val="21"/>
              </w:rPr>
            </w:pPr>
            <w:r>
              <w:rPr>
                <w:rFonts w:hint="eastAsia" w:ascii="宋体" w:hAnsi="宋体" w:cs="宋体"/>
                <w:szCs w:val="21"/>
              </w:rPr>
              <w:t>（2）财务要求：近三年（2016年、2017年、2018年）财务状况良好，满足本项目实施的需要；</w:t>
            </w:r>
          </w:p>
          <w:p>
            <w:pPr>
              <w:widowControl w:val="0"/>
              <w:spacing w:line="340" w:lineRule="exact"/>
              <w:rPr>
                <w:rFonts w:ascii="宋体" w:hAnsi="宋体" w:cs="宋体"/>
                <w:szCs w:val="21"/>
              </w:rPr>
            </w:pPr>
            <w:r>
              <w:rPr>
                <w:rFonts w:hint="eastAsia" w:ascii="宋体" w:hAnsi="宋体" w:cs="宋体"/>
                <w:szCs w:val="21"/>
              </w:rPr>
              <w:t>（3）信誉要求：拒绝列入政府取消投标资格记录期间的企业或个人投标。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99" w:type="dxa"/>
            <w:vAlign w:val="center"/>
          </w:tcPr>
          <w:p>
            <w:pPr>
              <w:widowControl w:val="0"/>
              <w:jc w:val="center"/>
              <w:rPr>
                <w:rFonts w:ascii="宋体" w:hAnsi="宋体" w:cs="宋体"/>
                <w:w w:val="99"/>
              </w:rPr>
            </w:pPr>
            <w:r>
              <w:rPr>
                <w:rFonts w:hint="eastAsia" w:ascii="宋体" w:hAnsi="宋体" w:cs="宋体"/>
                <w:szCs w:val="21"/>
              </w:rPr>
              <w:t>1.4.2</w:t>
            </w:r>
          </w:p>
        </w:tc>
        <w:tc>
          <w:tcPr>
            <w:tcW w:w="3136" w:type="dxa"/>
            <w:vAlign w:val="center"/>
          </w:tcPr>
          <w:p>
            <w:pPr>
              <w:widowControl w:val="0"/>
              <w:jc w:val="center"/>
              <w:rPr>
                <w:rFonts w:ascii="宋体" w:hAnsi="宋体" w:cs="宋体"/>
                <w:szCs w:val="21"/>
              </w:rPr>
            </w:pPr>
            <w:r>
              <w:rPr>
                <w:rFonts w:hint="eastAsia" w:ascii="宋体" w:hAnsi="宋体" w:cs="宋体"/>
                <w:szCs w:val="21"/>
              </w:rPr>
              <w:t>是否接受联合体投标</w:t>
            </w:r>
          </w:p>
        </w:tc>
        <w:tc>
          <w:tcPr>
            <w:tcW w:w="6114" w:type="dxa"/>
          </w:tcPr>
          <w:p>
            <w:pPr>
              <w:widowControl w:val="0"/>
              <w:spacing w:line="360" w:lineRule="exact"/>
              <w:jc w:val="left"/>
              <w:rPr>
                <w:rFonts w:ascii="宋体" w:hAnsi="宋体"/>
              </w:rPr>
            </w:pPr>
            <w:r>
              <w:rPr>
                <w:rFonts w:hint="eastAsia" w:ascii="宋体" w:hAnsi="宋体"/>
                <w:b/>
                <w:sz w:val="24"/>
                <w:szCs w:val="24"/>
              </w:rPr>
              <w:sym w:font="Wingdings" w:char="F0FE"/>
            </w:r>
            <w:r>
              <w:rPr>
                <w:rFonts w:hint="eastAsia" w:ascii="宋体" w:hAnsi="宋体"/>
              </w:rPr>
              <w:t>不接受</w:t>
            </w:r>
          </w:p>
          <w:p>
            <w:pPr>
              <w:widowControl w:val="0"/>
              <w:spacing w:line="360" w:lineRule="exact"/>
              <w:jc w:val="left"/>
              <w:rPr>
                <w:rFonts w:ascii="宋体" w:hAnsi="宋体"/>
              </w:rPr>
            </w:pPr>
            <w:r>
              <w:rPr>
                <w:rFonts w:hint="eastAsia" w:ascii="宋体" w:hAnsi="宋体"/>
                <w:b/>
                <w:sz w:val="24"/>
                <w:szCs w:val="24"/>
              </w:rPr>
              <w:sym w:font="Wingdings" w:char="00A8"/>
            </w:r>
            <w:r>
              <w:rPr>
                <w:rFonts w:hint="eastAsia" w:ascii="宋体" w:hAnsi="宋体"/>
              </w:rPr>
              <w:t>接受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617" w:hRule="atLeast"/>
        </w:trPr>
        <w:tc>
          <w:tcPr>
            <w:tcW w:w="1099" w:type="dxa"/>
            <w:vAlign w:val="center"/>
          </w:tcPr>
          <w:p>
            <w:pPr>
              <w:widowControl w:val="0"/>
              <w:jc w:val="center"/>
              <w:rPr>
                <w:rFonts w:ascii="宋体" w:hAnsi="宋体" w:cs="宋体"/>
                <w:w w:val="99"/>
              </w:rPr>
            </w:pPr>
            <w:r>
              <w:rPr>
                <w:rFonts w:hint="eastAsia" w:ascii="宋体" w:hAnsi="宋体" w:cs="宋体"/>
                <w:szCs w:val="21"/>
              </w:rPr>
              <w:t>1.4.3</w:t>
            </w:r>
          </w:p>
        </w:tc>
        <w:tc>
          <w:tcPr>
            <w:tcW w:w="3136" w:type="dxa"/>
            <w:vAlign w:val="center"/>
          </w:tcPr>
          <w:p>
            <w:pPr>
              <w:widowControl w:val="0"/>
              <w:jc w:val="center"/>
              <w:rPr>
                <w:rFonts w:ascii="宋体" w:hAnsi="宋体" w:cs="宋体"/>
                <w:szCs w:val="21"/>
              </w:rPr>
            </w:pPr>
            <w:r>
              <w:rPr>
                <w:rFonts w:hint="eastAsia" w:ascii="宋体" w:hAnsi="宋体" w:cs="宋体"/>
                <w:szCs w:val="21"/>
              </w:rPr>
              <w:t>投标人不得存在的其他情形</w:t>
            </w:r>
          </w:p>
        </w:tc>
        <w:tc>
          <w:tcPr>
            <w:tcW w:w="6114" w:type="dxa"/>
            <w:vAlign w:val="center"/>
          </w:tcPr>
          <w:p>
            <w:pPr>
              <w:autoSpaceDE w:val="0"/>
              <w:autoSpaceDN w:val="0"/>
              <w:adjustRightInd w:val="0"/>
              <w:spacing w:line="360" w:lineRule="exact"/>
              <w:jc w:val="left"/>
              <w:rPr>
                <w:rFonts w:ascii="宋体" w:hAnsi="宋体"/>
                <w:szCs w:val="21"/>
              </w:rPr>
            </w:pPr>
            <w:r>
              <w:rPr>
                <w:rFonts w:hint="eastAsia" w:ascii="宋体" w:hAnsi="宋体"/>
                <w:szCs w:val="21"/>
              </w:rPr>
              <w:t>（1）与招标人存在利害关系且可能影响招标公正性；</w:t>
            </w:r>
          </w:p>
          <w:p>
            <w:pPr>
              <w:autoSpaceDE w:val="0"/>
              <w:autoSpaceDN w:val="0"/>
              <w:adjustRightInd w:val="0"/>
              <w:spacing w:line="360" w:lineRule="exact"/>
              <w:jc w:val="left"/>
              <w:rPr>
                <w:rFonts w:ascii="宋体" w:hAnsi="宋体"/>
                <w:szCs w:val="21"/>
              </w:rPr>
            </w:pPr>
            <w:r>
              <w:rPr>
                <w:rFonts w:hint="eastAsia" w:ascii="宋体" w:hAnsi="宋体"/>
                <w:szCs w:val="21"/>
              </w:rPr>
              <w:t>（2）与本招标项目的其他投标人为同一个单位负责人；</w:t>
            </w:r>
          </w:p>
          <w:p>
            <w:pPr>
              <w:autoSpaceDE w:val="0"/>
              <w:autoSpaceDN w:val="0"/>
              <w:adjustRightInd w:val="0"/>
              <w:spacing w:line="360" w:lineRule="exact"/>
              <w:jc w:val="left"/>
              <w:rPr>
                <w:rFonts w:ascii="宋体" w:hAnsi="宋体"/>
                <w:szCs w:val="21"/>
              </w:rPr>
            </w:pPr>
            <w:r>
              <w:rPr>
                <w:rFonts w:hint="eastAsia" w:ascii="宋体" w:hAnsi="宋体"/>
                <w:szCs w:val="21"/>
              </w:rPr>
              <w:t>（3）与本招标项目的其他投标人存在控股、管理关系；</w:t>
            </w:r>
          </w:p>
          <w:p>
            <w:pPr>
              <w:autoSpaceDE w:val="0"/>
              <w:autoSpaceDN w:val="0"/>
              <w:adjustRightInd w:val="0"/>
              <w:spacing w:line="360" w:lineRule="exact"/>
              <w:jc w:val="left"/>
              <w:rPr>
                <w:rFonts w:ascii="宋体" w:hAnsi="宋体"/>
                <w:szCs w:val="21"/>
              </w:rPr>
            </w:pPr>
            <w:r>
              <w:rPr>
                <w:rFonts w:hint="eastAsia" w:ascii="宋体" w:hAnsi="宋体"/>
                <w:szCs w:val="21"/>
              </w:rPr>
              <w:t>（4）与本招标项目其他投标人代理同一个制造商同一品牌同一型号的设备投标；</w:t>
            </w:r>
          </w:p>
          <w:p>
            <w:pPr>
              <w:autoSpaceDE w:val="0"/>
              <w:autoSpaceDN w:val="0"/>
              <w:adjustRightInd w:val="0"/>
              <w:spacing w:line="360" w:lineRule="exact"/>
              <w:jc w:val="left"/>
              <w:rPr>
                <w:rFonts w:ascii="宋体" w:hAnsi="宋体"/>
                <w:szCs w:val="21"/>
              </w:rPr>
            </w:pPr>
            <w:r>
              <w:rPr>
                <w:rFonts w:hint="eastAsia" w:ascii="宋体" w:hAnsi="宋体"/>
                <w:szCs w:val="21"/>
              </w:rPr>
              <w:t>（5）为本招标项目提供过设计、编制技术规范和其他文件的咨询服务；</w:t>
            </w:r>
          </w:p>
          <w:p>
            <w:pPr>
              <w:autoSpaceDE w:val="0"/>
              <w:autoSpaceDN w:val="0"/>
              <w:adjustRightInd w:val="0"/>
              <w:spacing w:line="360" w:lineRule="exact"/>
              <w:jc w:val="left"/>
              <w:rPr>
                <w:rFonts w:ascii="宋体" w:hAnsi="宋体"/>
                <w:szCs w:val="21"/>
              </w:rPr>
            </w:pPr>
            <w:r>
              <w:rPr>
                <w:rFonts w:hint="eastAsia" w:ascii="宋体" w:hAnsi="宋体"/>
                <w:szCs w:val="21"/>
              </w:rPr>
              <w:t>（6）为本工程项目的相关监理人，或者与本工程项目的相关监理人存在隶属关系或者其他 利害关系；</w:t>
            </w:r>
          </w:p>
          <w:p>
            <w:pPr>
              <w:autoSpaceDE w:val="0"/>
              <w:autoSpaceDN w:val="0"/>
              <w:adjustRightInd w:val="0"/>
              <w:spacing w:line="360" w:lineRule="exact"/>
              <w:jc w:val="left"/>
              <w:rPr>
                <w:rFonts w:ascii="宋体" w:hAnsi="宋体"/>
                <w:szCs w:val="21"/>
              </w:rPr>
            </w:pPr>
            <w:r>
              <w:rPr>
                <w:rFonts w:hint="eastAsia" w:ascii="宋体" w:hAnsi="宋体"/>
                <w:szCs w:val="21"/>
              </w:rPr>
              <w:t>（7）为本招标项目的代建人；</w:t>
            </w:r>
          </w:p>
          <w:p>
            <w:pPr>
              <w:autoSpaceDE w:val="0"/>
              <w:autoSpaceDN w:val="0"/>
              <w:adjustRightInd w:val="0"/>
              <w:spacing w:line="360" w:lineRule="exact"/>
              <w:jc w:val="left"/>
              <w:rPr>
                <w:rFonts w:ascii="宋体" w:hAnsi="宋体"/>
                <w:szCs w:val="21"/>
              </w:rPr>
            </w:pPr>
            <w:r>
              <w:rPr>
                <w:rFonts w:hint="eastAsia" w:ascii="宋体" w:hAnsi="宋体"/>
                <w:szCs w:val="21"/>
              </w:rPr>
              <w:t>（8）为本招标项目的招标代理机构；</w:t>
            </w:r>
          </w:p>
          <w:p>
            <w:pPr>
              <w:autoSpaceDE w:val="0"/>
              <w:autoSpaceDN w:val="0"/>
              <w:adjustRightInd w:val="0"/>
              <w:spacing w:line="360" w:lineRule="exact"/>
              <w:jc w:val="left"/>
              <w:rPr>
                <w:rFonts w:ascii="宋体" w:hAnsi="宋体"/>
                <w:szCs w:val="21"/>
              </w:rPr>
            </w:pPr>
            <w:r>
              <w:rPr>
                <w:rFonts w:hint="eastAsia" w:ascii="宋体" w:hAnsi="宋体"/>
                <w:szCs w:val="21"/>
              </w:rPr>
              <w:t>（9）与本招标项目的监理人或代建人或招标代理机构同为一个法定代表人；</w:t>
            </w:r>
          </w:p>
          <w:p>
            <w:pPr>
              <w:autoSpaceDE w:val="0"/>
              <w:autoSpaceDN w:val="0"/>
              <w:adjustRightInd w:val="0"/>
              <w:spacing w:line="360" w:lineRule="exact"/>
              <w:jc w:val="left"/>
              <w:rPr>
                <w:rFonts w:ascii="宋体" w:hAnsi="宋体"/>
                <w:szCs w:val="21"/>
              </w:rPr>
            </w:pPr>
            <w:r>
              <w:rPr>
                <w:rFonts w:hint="eastAsia" w:ascii="宋体" w:hAnsi="宋体"/>
                <w:szCs w:val="21"/>
              </w:rPr>
              <w:t>（10）与本招标项目的监理人或代建人或招标代理机构存在控股或参股关系；</w:t>
            </w:r>
          </w:p>
          <w:p>
            <w:pPr>
              <w:autoSpaceDE w:val="0"/>
              <w:autoSpaceDN w:val="0"/>
              <w:adjustRightInd w:val="0"/>
              <w:spacing w:line="360" w:lineRule="exact"/>
              <w:jc w:val="left"/>
              <w:rPr>
                <w:rFonts w:ascii="宋体" w:hAnsi="宋体"/>
                <w:szCs w:val="21"/>
              </w:rPr>
            </w:pPr>
            <w:r>
              <w:rPr>
                <w:rFonts w:hint="eastAsia" w:ascii="宋体" w:hAnsi="宋体"/>
                <w:szCs w:val="21"/>
              </w:rPr>
              <w:t>（11）被依法暂停或者取消投标资格；</w:t>
            </w:r>
          </w:p>
          <w:p>
            <w:pPr>
              <w:autoSpaceDE w:val="0"/>
              <w:autoSpaceDN w:val="0"/>
              <w:adjustRightInd w:val="0"/>
              <w:spacing w:line="360" w:lineRule="exact"/>
              <w:jc w:val="left"/>
              <w:rPr>
                <w:rFonts w:ascii="宋体" w:hAnsi="宋体"/>
                <w:szCs w:val="21"/>
              </w:rPr>
            </w:pPr>
            <w:r>
              <w:rPr>
                <w:rFonts w:hint="eastAsia" w:ascii="宋体" w:hAnsi="宋体"/>
                <w:szCs w:val="21"/>
              </w:rPr>
              <w:t>（12）被责令停产停业、暂扣或者吊销许可证、暂扣或者吊销执照；</w:t>
            </w:r>
          </w:p>
          <w:p>
            <w:pPr>
              <w:autoSpaceDE w:val="0"/>
              <w:autoSpaceDN w:val="0"/>
              <w:adjustRightInd w:val="0"/>
              <w:spacing w:line="360" w:lineRule="exact"/>
              <w:jc w:val="left"/>
              <w:rPr>
                <w:rFonts w:ascii="宋体" w:hAnsi="宋体"/>
                <w:szCs w:val="21"/>
              </w:rPr>
            </w:pPr>
            <w:r>
              <w:rPr>
                <w:rFonts w:hint="eastAsia" w:ascii="宋体" w:hAnsi="宋体"/>
                <w:szCs w:val="21"/>
              </w:rPr>
              <w:t>（13）进入清算程序，或被宣告破产，或其他丧失履约能力的情形；</w:t>
            </w:r>
          </w:p>
          <w:p>
            <w:pPr>
              <w:autoSpaceDE w:val="0"/>
              <w:autoSpaceDN w:val="0"/>
              <w:adjustRightInd w:val="0"/>
              <w:spacing w:line="360" w:lineRule="exact"/>
              <w:jc w:val="left"/>
              <w:rPr>
                <w:rFonts w:ascii="宋体" w:hAnsi="宋体"/>
                <w:szCs w:val="21"/>
              </w:rPr>
            </w:pPr>
            <w:r>
              <w:rPr>
                <w:rFonts w:hint="eastAsia" w:ascii="宋体" w:hAnsi="宋体"/>
                <w:szCs w:val="21"/>
              </w:rPr>
              <w:t>（14）在最近三年内发生重大产品质量问题（以相关行业主管部门的行政处罚决定或司法机关出具的有关法律文书为准）；</w:t>
            </w:r>
          </w:p>
          <w:p>
            <w:pPr>
              <w:autoSpaceDE w:val="0"/>
              <w:autoSpaceDN w:val="0"/>
              <w:adjustRightInd w:val="0"/>
              <w:spacing w:line="360" w:lineRule="exact"/>
              <w:jc w:val="left"/>
              <w:rPr>
                <w:rFonts w:ascii="宋体" w:hAnsi="宋体"/>
                <w:szCs w:val="21"/>
              </w:rPr>
            </w:pPr>
            <w:r>
              <w:rPr>
                <w:rFonts w:hint="eastAsia" w:ascii="宋体" w:hAnsi="宋体"/>
                <w:szCs w:val="21"/>
              </w:rPr>
              <w:t>（15）被工商行政管理机关在全国企业信用信息公示系统中列入严重违法失信企业名单；</w:t>
            </w:r>
          </w:p>
          <w:p>
            <w:pPr>
              <w:autoSpaceDE w:val="0"/>
              <w:autoSpaceDN w:val="0"/>
              <w:adjustRightInd w:val="0"/>
              <w:spacing w:line="360" w:lineRule="exact"/>
              <w:jc w:val="left"/>
              <w:rPr>
                <w:rFonts w:ascii="宋体" w:hAnsi="宋体"/>
                <w:szCs w:val="21"/>
              </w:rPr>
            </w:pPr>
            <w:r>
              <w:rPr>
                <w:rFonts w:hint="eastAsia" w:ascii="宋体" w:hAnsi="宋体"/>
                <w:szCs w:val="21"/>
              </w:rPr>
              <w:t>（16）被最高人民法院在“信用中国”网站（www.creditchina.gov.cn）或各级信用信息共享平台中列入失信被执行人名单；</w:t>
            </w:r>
          </w:p>
          <w:p>
            <w:pPr>
              <w:autoSpaceDE w:val="0"/>
              <w:autoSpaceDN w:val="0"/>
              <w:adjustRightInd w:val="0"/>
              <w:spacing w:line="360" w:lineRule="exact"/>
              <w:jc w:val="left"/>
              <w:rPr>
                <w:rFonts w:ascii="宋体" w:hAnsi="宋体"/>
                <w:szCs w:val="21"/>
              </w:rPr>
            </w:pPr>
            <w:r>
              <w:rPr>
                <w:rFonts w:hint="eastAsia" w:ascii="宋体" w:hAnsi="宋体"/>
                <w:szCs w:val="21"/>
              </w:rPr>
              <w:t>（17）在近三年内投标人或其法定代表人、拟委任的项目负责人有行贿犯罪行为的；</w:t>
            </w:r>
          </w:p>
          <w:p>
            <w:pPr>
              <w:autoSpaceDE w:val="0"/>
              <w:autoSpaceDN w:val="0"/>
              <w:adjustRightInd w:val="0"/>
              <w:spacing w:line="360" w:lineRule="exact"/>
              <w:jc w:val="left"/>
              <w:rPr>
                <w:rFonts w:ascii="宋体" w:hAnsi="宋体"/>
                <w:sz w:val="32"/>
              </w:rPr>
            </w:pPr>
            <w:r>
              <w:rPr>
                <w:rFonts w:hint="eastAsia" w:ascii="宋体" w:hAnsi="宋体"/>
                <w:szCs w:val="21"/>
              </w:rPr>
              <w:t>（18）法律法规或投标人须知前附表规定的其他情形。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99" w:type="dxa"/>
            <w:vAlign w:val="center"/>
          </w:tcPr>
          <w:p>
            <w:pPr>
              <w:widowControl w:val="0"/>
              <w:jc w:val="center"/>
              <w:rPr>
                <w:rFonts w:ascii="宋体" w:hAnsi="宋体" w:cs="宋体"/>
                <w:szCs w:val="21"/>
              </w:rPr>
            </w:pPr>
            <w:r>
              <w:rPr>
                <w:rFonts w:hint="eastAsia" w:ascii="宋体" w:hAnsi="宋体" w:cs="宋体"/>
                <w:szCs w:val="21"/>
              </w:rPr>
              <w:t>1.9.1</w:t>
            </w:r>
          </w:p>
        </w:tc>
        <w:tc>
          <w:tcPr>
            <w:tcW w:w="3136" w:type="dxa"/>
            <w:vAlign w:val="center"/>
          </w:tcPr>
          <w:p>
            <w:pPr>
              <w:widowControl w:val="0"/>
              <w:jc w:val="center"/>
              <w:rPr>
                <w:rFonts w:ascii="宋体" w:hAnsi="宋体" w:cs="宋体"/>
                <w:szCs w:val="21"/>
              </w:rPr>
            </w:pPr>
            <w:r>
              <w:rPr>
                <w:rFonts w:hint="eastAsia" w:ascii="宋体" w:hAnsi="宋体" w:cs="宋体"/>
                <w:szCs w:val="21"/>
              </w:rPr>
              <w:t>投标预备会</w:t>
            </w:r>
          </w:p>
        </w:tc>
        <w:tc>
          <w:tcPr>
            <w:tcW w:w="6114" w:type="dxa"/>
          </w:tcPr>
          <w:p>
            <w:pPr>
              <w:widowControl w:val="0"/>
              <w:spacing w:line="360" w:lineRule="exact"/>
              <w:jc w:val="left"/>
              <w:rPr>
                <w:rFonts w:ascii="宋体" w:hAnsi="宋体"/>
              </w:rPr>
            </w:pPr>
            <w:r>
              <w:rPr>
                <w:rFonts w:hint="eastAsia" w:ascii="宋体" w:hAnsi="宋体"/>
                <w:b/>
                <w:sz w:val="24"/>
                <w:szCs w:val="24"/>
              </w:rPr>
              <w:sym w:font="Wingdings" w:char="F0FE"/>
            </w:r>
            <w:r>
              <w:rPr>
                <w:rFonts w:hint="eastAsia" w:ascii="宋体" w:hAnsi="宋体"/>
              </w:rPr>
              <w:t>不召开</w:t>
            </w:r>
          </w:p>
          <w:p>
            <w:pPr>
              <w:widowControl w:val="0"/>
              <w:spacing w:line="360" w:lineRule="exact"/>
              <w:jc w:val="left"/>
              <w:rPr>
                <w:rFonts w:ascii="宋体" w:hAnsi="宋体"/>
              </w:rPr>
            </w:pPr>
            <w:r>
              <w:rPr>
                <w:rFonts w:hint="eastAsia" w:ascii="宋体" w:hAnsi="宋体"/>
                <w:b/>
                <w:color w:val="000000"/>
                <w:szCs w:val="21"/>
              </w:rPr>
              <w:t>□</w:t>
            </w:r>
            <w:r>
              <w:rPr>
                <w:rFonts w:hint="eastAsia" w:ascii="宋体" w:hAnsi="宋体"/>
              </w:rPr>
              <w:t>召开，召开时间：</w:t>
            </w:r>
          </w:p>
          <w:p>
            <w:pPr>
              <w:widowControl w:val="0"/>
              <w:spacing w:line="360" w:lineRule="exact"/>
              <w:ind w:firstLine="840" w:firstLineChars="400"/>
              <w:jc w:val="left"/>
              <w:rPr>
                <w:rFonts w:ascii="宋体" w:hAnsi="宋体"/>
              </w:rPr>
            </w:pPr>
            <w:r>
              <w:rPr>
                <w:rFonts w:hint="eastAsia" w:ascii="宋体" w:hAnsi="宋体"/>
              </w:rPr>
              <w:t>召开地点：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99" w:type="dxa"/>
            <w:vAlign w:val="center"/>
          </w:tcPr>
          <w:p>
            <w:pPr>
              <w:widowControl w:val="0"/>
              <w:jc w:val="center"/>
              <w:rPr>
                <w:rFonts w:ascii="宋体" w:hAnsi="宋体" w:cs="宋体"/>
                <w:szCs w:val="21"/>
              </w:rPr>
            </w:pPr>
            <w:r>
              <w:rPr>
                <w:rFonts w:hint="eastAsia" w:ascii="宋体" w:hAnsi="宋体" w:cs="宋体"/>
                <w:szCs w:val="21"/>
              </w:rPr>
              <w:t>1.9.2</w:t>
            </w:r>
          </w:p>
        </w:tc>
        <w:tc>
          <w:tcPr>
            <w:tcW w:w="3136" w:type="dxa"/>
            <w:vAlign w:val="center"/>
          </w:tcPr>
          <w:p>
            <w:pPr>
              <w:widowControl w:val="0"/>
              <w:jc w:val="center"/>
              <w:rPr>
                <w:rFonts w:ascii="宋体" w:hAnsi="宋体" w:cs="宋体"/>
                <w:szCs w:val="21"/>
              </w:rPr>
            </w:pPr>
            <w:r>
              <w:rPr>
                <w:rFonts w:hint="eastAsia" w:ascii="宋体" w:hAnsi="宋体" w:cs="宋体"/>
                <w:szCs w:val="21"/>
              </w:rPr>
              <w:t>投标人在投标预备会前提出问题</w:t>
            </w:r>
          </w:p>
        </w:tc>
        <w:tc>
          <w:tcPr>
            <w:tcW w:w="6114" w:type="dxa"/>
          </w:tcPr>
          <w:p>
            <w:pPr>
              <w:widowControl w:val="0"/>
              <w:spacing w:line="360" w:lineRule="exact"/>
              <w:jc w:val="left"/>
              <w:rPr>
                <w:rFonts w:ascii="宋体" w:hAnsi="宋体"/>
              </w:rPr>
            </w:pPr>
            <w:r>
              <w:rPr>
                <w:rFonts w:ascii="宋体" w:hAnsi="宋体"/>
              </w:rPr>
              <w:t xml:space="preserve">时 间： </w:t>
            </w:r>
            <w:r>
              <w:rPr>
                <w:rFonts w:hint="eastAsia" w:ascii="宋体" w:hAnsi="宋体"/>
              </w:rPr>
              <w:t>2019年   月   日    时前</w:t>
            </w:r>
          </w:p>
          <w:p>
            <w:pPr>
              <w:widowControl w:val="0"/>
              <w:spacing w:line="360" w:lineRule="exact"/>
              <w:jc w:val="left"/>
              <w:rPr>
                <w:rFonts w:ascii="宋体" w:hAnsi="宋体"/>
              </w:rPr>
            </w:pPr>
            <w:r>
              <w:rPr>
                <w:rFonts w:hint="eastAsia" w:ascii="宋体" w:hAnsi="宋体"/>
              </w:rPr>
              <w:t>形式：</w:t>
            </w:r>
            <w:r>
              <w:rPr>
                <w:rFonts w:ascii="宋体" w:hAnsi="宋体"/>
              </w:rPr>
              <w:t xml:space="preserve"> 用A4纸打印，一式四份，并加盖公章</w:t>
            </w:r>
            <w:r>
              <w:rPr>
                <w:rFonts w:hint="eastAsia" w:ascii="宋体" w:hAnsi="宋体"/>
              </w:rPr>
              <w:t>。</w:t>
            </w:r>
          </w:p>
          <w:p>
            <w:pPr>
              <w:widowControl w:val="0"/>
              <w:spacing w:line="360" w:lineRule="exact"/>
              <w:jc w:val="left"/>
              <w:rPr>
                <w:rFonts w:ascii="宋体" w:hAnsi="宋体"/>
              </w:rPr>
            </w:pPr>
            <w:r>
              <w:rPr>
                <w:rFonts w:hint="eastAsia" w:ascii="宋体" w:hAnsi="宋体"/>
              </w:rPr>
              <w:t>招标代理机构</w:t>
            </w:r>
            <w:r>
              <w:rPr>
                <w:rFonts w:ascii="宋体" w:hAnsi="宋体"/>
              </w:rPr>
              <w:t>联系人：</w:t>
            </w:r>
            <w:r>
              <w:rPr>
                <w:rFonts w:hint="eastAsia" w:ascii="宋体" w:hAnsi="宋体"/>
              </w:rPr>
              <w:t>张宁</w:t>
            </w:r>
          </w:p>
          <w:p>
            <w:pPr>
              <w:widowControl w:val="0"/>
              <w:spacing w:line="360" w:lineRule="exact"/>
              <w:jc w:val="left"/>
              <w:rPr>
                <w:rFonts w:ascii="宋体" w:hAnsi="宋体"/>
              </w:rPr>
            </w:pPr>
            <w:r>
              <w:rPr>
                <w:rFonts w:hint="eastAsia" w:ascii="宋体" w:hAnsi="宋体"/>
              </w:rPr>
              <w:t>招标代理机构</w:t>
            </w:r>
            <w:r>
              <w:rPr>
                <w:rFonts w:ascii="宋体" w:hAnsi="宋体"/>
              </w:rPr>
              <w:t>联系电话：</w:t>
            </w:r>
            <w:r>
              <w:rPr>
                <w:rFonts w:hint="eastAsia" w:ascii="宋体" w:hAnsi="宋体"/>
                <w:color w:val="000000"/>
                <w:szCs w:val="21"/>
              </w:rPr>
              <w:t>0431-89859616</w:t>
            </w:r>
          </w:p>
          <w:p>
            <w:pPr>
              <w:widowControl w:val="0"/>
              <w:spacing w:line="360" w:lineRule="exact"/>
              <w:rPr>
                <w:rFonts w:ascii="宋体" w:hAnsi="宋体"/>
              </w:rPr>
            </w:pPr>
            <w:r>
              <w:rPr>
                <w:rFonts w:ascii="宋体" w:hAnsi="宋体"/>
              </w:rPr>
              <w:t>电子邮箱：</w:t>
            </w:r>
            <w:r>
              <w:rPr>
                <w:rFonts w:hint="eastAsia" w:ascii="宋体" w:hAnsi="宋体"/>
                <w:szCs w:val="21"/>
              </w:rPr>
              <w:t>bjfhgj</w:t>
            </w:r>
            <w:r>
              <w:rPr>
                <w:rFonts w:ascii="宋体" w:hAnsi="宋体"/>
                <w:szCs w:val="21"/>
              </w:rPr>
              <w:t>@</w:t>
            </w:r>
            <w:r>
              <w:rPr>
                <w:rFonts w:hint="eastAsia" w:ascii="宋体" w:hAnsi="宋体"/>
                <w:szCs w:val="21"/>
              </w:rPr>
              <w:t>126</w:t>
            </w:r>
            <w:r>
              <w:rPr>
                <w:rFonts w:ascii="宋体" w:hAnsi="宋体"/>
                <w:szCs w:val="21"/>
              </w:rPr>
              <w:t>.com</w:t>
            </w:r>
          </w:p>
          <w:p>
            <w:pPr>
              <w:widowControl w:val="0"/>
              <w:spacing w:line="360" w:lineRule="exact"/>
              <w:rPr>
                <w:rFonts w:ascii="宋体" w:hAnsi="宋体"/>
              </w:rPr>
            </w:pPr>
            <w:r>
              <w:rPr>
                <w:rFonts w:ascii="宋体" w:hAnsi="宋体"/>
              </w:rPr>
              <w:t>提交地址：纸质文件提交至</w:t>
            </w:r>
            <w:r>
              <w:rPr>
                <w:rFonts w:hint="eastAsia" w:ascii="宋体" w:hAnsi="宋体"/>
                <w:color w:val="000000"/>
                <w:szCs w:val="21"/>
              </w:rPr>
              <w:t>北京泛华国金工程咨询有限公司（地址：</w:t>
            </w:r>
            <w:r>
              <w:rPr>
                <w:rFonts w:hint="eastAsia" w:ascii="宋体" w:hAnsi="宋体"/>
              </w:rPr>
              <w:t>长春市南关区蔚山路与幸福街交汇陶然庭苑19栋6楼会议室）</w:t>
            </w:r>
            <w:r>
              <w:rPr>
                <w:rFonts w:ascii="宋体" w:hAnsi="宋体"/>
              </w:rPr>
              <w:t>，电子版文件（word版）传至邮箱（</w:t>
            </w:r>
            <w:r>
              <w:rPr>
                <w:rFonts w:hint="eastAsia" w:ascii="宋体" w:hAnsi="宋体"/>
                <w:szCs w:val="21"/>
              </w:rPr>
              <w:t>bjfhgj</w:t>
            </w:r>
            <w:r>
              <w:rPr>
                <w:rFonts w:ascii="宋体" w:hAnsi="宋体"/>
                <w:szCs w:val="21"/>
              </w:rPr>
              <w:t>@</w:t>
            </w:r>
            <w:r>
              <w:rPr>
                <w:rFonts w:hint="eastAsia" w:ascii="宋体" w:hAnsi="宋体"/>
                <w:szCs w:val="21"/>
              </w:rPr>
              <w:t>126</w:t>
            </w:r>
            <w:r>
              <w:rPr>
                <w:rFonts w:ascii="宋体" w:hAnsi="宋体"/>
                <w:szCs w:val="21"/>
              </w:rPr>
              <w:t>.com</w:t>
            </w:r>
            <w:r>
              <w:rPr>
                <w:rFonts w:ascii="宋体" w:hAnsi="宋体"/>
              </w:rPr>
              <w:t>）</w:t>
            </w:r>
          </w:p>
          <w:p>
            <w:pPr>
              <w:widowControl w:val="0"/>
              <w:spacing w:line="360" w:lineRule="exact"/>
              <w:jc w:val="left"/>
              <w:rPr>
                <w:rFonts w:ascii="宋体" w:hAnsi="宋体"/>
              </w:rPr>
            </w:pPr>
            <w:r>
              <w:rPr>
                <w:rFonts w:ascii="宋体" w:hAnsi="宋体"/>
                <w:b/>
                <w:bCs/>
              </w:rPr>
              <w:t>若投标人未按规定提交投标疑问，则视为其无疑问。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trPr>
        <w:tc>
          <w:tcPr>
            <w:tcW w:w="1099" w:type="dxa"/>
            <w:vAlign w:val="center"/>
          </w:tcPr>
          <w:p>
            <w:pPr>
              <w:ind w:right="-20"/>
              <w:jc w:val="center"/>
              <w:rPr>
                <w:rFonts w:ascii="宋体" w:hAnsi="宋体" w:cs="Arial"/>
              </w:rPr>
            </w:pPr>
            <w:r>
              <w:rPr>
                <w:rFonts w:hint="eastAsia" w:ascii="宋体" w:hAnsi="宋体" w:cs="Arial"/>
              </w:rPr>
              <w:t>1.9.3</w:t>
            </w:r>
          </w:p>
        </w:tc>
        <w:tc>
          <w:tcPr>
            <w:tcW w:w="3136" w:type="dxa"/>
            <w:vAlign w:val="center"/>
          </w:tcPr>
          <w:p>
            <w:pPr>
              <w:spacing w:before="57"/>
              <w:ind w:right="-20"/>
              <w:jc w:val="center"/>
              <w:rPr>
                <w:rFonts w:ascii="宋体" w:hAnsi="宋体" w:cs="宋体"/>
                <w:szCs w:val="21"/>
              </w:rPr>
            </w:pPr>
            <w:r>
              <w:rPr>
                <w:rFonts w:ascii="宋体" w:hAnsi="宋体" w:cs="宋体"/>
                <w:szCs w:val="21"/>
              </w:rPr>
              <w:t>招标文件澄清发出的形式</w:t>
            </w:r>
          </w:p>
        </w:tc>
        <w:tc>
          <w:tcPr>
            <w:tcW w:w="6114" w:type="dxa"/>
            <w:vAlign w:val="center"/>
          </w:tcPr>
          <w:p>
            <w:pPr>
              <w:widowControl w:val="0"/>
              <w:spacing w:line="340" w:lineRule="exact"/>
              <w:rPr>
                <w:rFonts w:ascii="宋体" w:hAnsi="宋体" w:cs="宋体"/>
                <w:szCs w:val="21"/>
              </w:rPr>
            </w:pPr>
            <w:r>
              <w:rPr>
                <w:rFonts w:hint="eastAsia" w:ascii="宋体" w:hAnsi="宋体"/>
              </w:rPr>
              <w:t>书面形式</w:t>
            </w:r>
            <w:r>
              <w:rPr>
                <w:rFonts w:hint="eastAsia" w:hAnsi="宋体"/>
                <w:szCs w:val="21"/>
              </w:rPr>
              <w:t>（包括信函或传真）通知所有购买招标文件的投标人。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4" w:hRule="exact"/>
        </w:trPr>
        <w:tc>
          <w:tcPr>
            <w:tcW w:w="1099" w:type="dxa"/>
            <w:vAlign w:val="center"/>
          </w:tcPr>
          <w:p>
            <w:pPr>
              <w:adjustRightInd w:val="0"/>
              <w:snapToGrid w:val="0"/>
              <w:spacing w:line="300" w:lineRule="exact"/>
              <w:jc w:val="center"/>
              <w:rPr>
                <w:rFonts w:ascii="宋体" w:hAnsi="宋体" w:cs="Arial"/>
              </w:rPr>
            </w:pPr>
            <w:r>
              <w:rPr>
                <w:rFonts w:hint="eastAsia" w:ascii="宋体" w:hAnsi="宋体" w:cs="Arial"/>
              </w:rPr>
              <w:t>1.10.1</w:t>
            </w:r>
          </w:p>
        </w:tc>
        <w:tc>
          <w:tcPr>
            <w:tcW w:w="3136" w:type="dxa"/>
            <w:vAlign w:val="center"/>
          </w:tcPr>
          <w:p>
            <w:pPr>
              <w:spacing w:line="360" w:lineRule="exact"/>
              <w:jc w:val="center"/>
              <w:rPr>
                <w:rFonts w:ascii="宋体" w:hAnsi="宋体" w:cs="宋体"/>
                <w:spacing w:val="-2"/>
                <w:szCs w:val="21"/>
              </w:rPr>
            </w:pPr>
            <w:r>
              <w:rPr>
                <w:rFonts w:ascii="宋体" w:hAnsi="宋体" w:cs="宋体"/>
                <w:szCs w:val="21"/>
              </w:rPr>
              <w:t>分包</w:t>
            </w:r>
          </w:p>
        </w:tc>
        <w:tc>
          <w:tcPr>
            <w:tcW w:w="6114" w:type="dxa"/>
            <w:vAlign w:val="center"/>
          </w:tcPr>
          <w:p>
            <w:pPr>
              <w:widowControl w:val="0"/>
              <w:spacing w:line="340" w:lineRule="exact"/>
              <w:ind w:right="-20"/>
              <w:rPr>
                <w:rFonts w:ascii="宋体" w:hAnsi="宋体" w:cs="宋体"/>
                <w:szCs w:val="21"/>
              </w:rPr>
            </w:pPr>
            <w:r>
              <w:rPr>
                <w:rFonts w:hint="eastAsia" w:ascii="宋体" w:hAnsi="宋体"/>
                <w:b/>
                <w:sz w:val="24"/>
                <w:szCs w:val="24"/>
              </w:rPr>
              <w:sym w:font="Wingdings" w:char="F0FE"/>
            </w:r>
            <w:r>
              <w:rPr>
                <w:rFonts w:hint="eastAsia" w:ascii="宋体" w:hAnsi="宋体" w:cs="宋体"/>
                <w:szCs w:val="21"/>
              </w:rPr>
              <w:t>不允许</w:t>
            </w:r>
          </w:p>
          <w:p>
            <w:pPr>
              <w:widowControl w:val="0"/>
              <w:spacing w:line="340" w:lineRule="exact"/>
              <w:ind w:right="-20"/>
              <w:rPr>
                <w:rFonts w:ascii="宋体" w:hAnsi="宋体" w:cs="宋体"/>
                <w:szCs w:val="21"/>
              </w:rPr>
            </w:pPr>
            <w:r>
              <w:rPr>
                <w:rFonts w:ascii="Wingdings" w:hAnsi="Wingdings" w:cs="Wingdings"/>
                <w:szCs w:val="21"/>
              </w:rPr>
              <w:t></w:t>
            </w:r>
            <w:r>
              <w:rPr>
                <w:rFonts w:hint="eastAsia" w:ascii="宋体" w:hAnsi="宋体" w:cs="宋体"/>
                <w:szCs w:val="21"/>
              </w:rPr>
              <w:t xml:space="preserve">允许，分包内容要求： </w:t>
            </w:r>
          </w:p>
          <w:p>
            <w:pPr>
              <w:widowControl w:val="0"/>
              <w:spacing w:line="340" w:lineRule="exact"/>
              <w:ind w:right="-20"/>
              <w:rPr>
                <w:rFonts w:ascii="宋体" w:hAnsi="宋体" w:cs="宋体"/>
                <w:szCs w:val="21"/>
              </w:rPr>
            </w:pPr>
            <w:r>
              <w:rPr>
                <w:rFonts w:hint="eastAsia" w:ascii="宋体" w:hAnsi="宋体" w:cs="宋体"/>
                <w:szCs w:val="21"/>
              </w:rPr>
              <w:t xml:space="preserve">分包金额要求： </w:t>
            </w:r>
          </w:p>
          <w:p>
            <w:pPr>
              <w:widowControl w:val="0"/>
              <w:spacing w:line="340" w:lineRule="exact"/>
              <w:ind w:right="-20"/>
              <w:rPr>
                <w:rFonts w:ascii="宋体" w:hAnsi="宋体" w:cs="宋体"/>
                <w:color w:val="FF0000"/>
              </w:rPr>
            </w:pPr>
            <w:r>
              <w:rPr>
                <w:rFonts w:hint="eastAsia" w:ascii="宋体" w:hAnsi="宋体" w:cs="宋体"/>
                <w:szCs w:val="21"/>
              </w:rPr>
              <w:t>对分包人的资质要求：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trPr>
        <w:tc>
          <w:tcPr>
            <w:tcW w:w="1099" w:type="dxa"/>
            <w:vAlign w:val="center"/>
          </w:tcPr>
          <w:p>
            <w:pPr>
              <w:widowControl w:val="0"/>
              <w:jc w:val="center"/>
              <w:rPr>
                <w:rFonts w:ascii="宋体" w:hAnsi="宋体" w:cs="宋体"/>
                <w:szCs w:val="21"/>
              </w:rPr>
            </w:pPr>
            <w:r>
              <w:rPr>
                <w:rFonts w:hint="eastAsia" w:ascii="宋体" w:hAnsi="宋体" w:cs="宋体"/>
                <w:szCs w:val="21"/>
              </w:rPr>
              <w:t>1.11.1</w:t>
            </w:r>
          </w:p>
        </w:tc>
        <w:tc>
          <w:tcPr>
            <w:tcW w:w="3136" w:type="dxa"/>
            <w:vAlign w:val="center"/>
          </w:tcPr>
          <w:p>
            <w:pPr>
              <w:widowControl w:val="0"/>
              <w:spacing w:line="360" w:lineRule="exact"/>
              <w:jc w:val="center"/>
              <w:rPr>
                <w:rFonts w:ascii="宋体" w:hAnsi="宋体" w:cs="宋体"/>
                <w:szCs w:val="21"/>
              </w:rPr>
            </w:pPr>
            <w:r>
              <w:rPr>
                <w:rFonts w:hint="eastAsia" w:ascii="宋体" w:hAnsi="宋体" w:cs="宋体"/>
                <w:szCs w:val="21"/>
              </w:rPr>
              <w:t>实质性要求和条件</w:t>
            </w:r>
          </w:p>
        </w:tc>
        <w:tc>
          <w:tcPr>
            <w:tcW w:w="6114" w:type="dxa"/>
          </w:tcPr>
          <w:p>
            <w:pPr>
              <w:widowControl w:val="0"/>
              <w:spacing w:line="360" w:lineRule="exact"/>
              <w:jc w:val="left"/>
              <w:rPr>
                <w:rFonts w:ascii="宋体" w:hAnsi="宋体"/>
              </w:rPr>
            </w:pPr>
            <w:r>
              <w:rPr>
                <w:rFonts w:hint="eastAsia" w:ascii="宋体" w:hAnsi="宋体"/>
              </w:rPr>
              <w:t>详见评标办法前附表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8" w:hRule="exact"/>
        </w:trPr>
        <w:tc>
          <w:tcPr>
            <w:tcW w:w="1099" w:type="dxa"/>
            <w:vAlign w:val="center"/>
          </w:tcPr>
          <w:p>
            <w:pPr>
              <w:widowControl w:val="0"/>
              <w:spacing w:line="340" w:lineRule="exact"/>
              <w:jc w:val="center"/>
              <w:rPr>
                <w:rFonts w:ascii="宋体" w:hAnsi="宋体" w:cs="宋体"/>
                <w:sz w:val="22"/>
                <w:szCs w:val="22"/>
              </w:rPr>
            </w:pPr>
            <w:r>
              <w:rPr>
                <w:rFonts w:hint="eastAsia" w:ascii="宋体" w:hAnsi="宋体" w:cs="宋体"/>
                <w:sz w:val="22"/>
                <w:szCs w:val="22"/>
              </w:rPr>
              <w:t>1.11.3</w:t>
            </w:r>
          </w:p>
        </w:tc>
        <w:tc>
          <w:tcPr>
            <w:tcW w:w="3136" w:type="dxa"/>
            <w:vAlign w:val="center"/>
          </w:tcPr>
          <w:p>
            <w:pPr>
              <w:adjustRightInd w:val="0"/>
              <w:snapToGrid w:val="0"/>
              <w:spacing w:line="240" w:lineRule="exact"/>
              <w:jc w:val="center"/>
              <w:rPr>
                <w:rFonts w:ascii="宋体" w:hAnsi="宋体" w:cs="Arial"/>
                <w:sz w:val="22"/>
                <w:szCs w:val="22"/>
              </w:rPr>
            </w:pPr>
            <w:r>
              <w:rPr>
                <w:rFonts w:ascii="宋体" w:hAnsi="宋体" w:cs="宋体"/>
                <w:sz w:val="22"/>
                <w:szCs w:val="22"/>
              </w:rPr>
              <w:t>其他</w:t>
            </w:r>
            <w:r>
              <w:rPr>
                <w:rFonts w:ascii="宋体" w:hAnsi="宋体" w:cs="宋体"/>
                <w:spacing w:val="-2"/>
                <w:sz w:val="22"/>
                <w:szCs w:val="22"/>
              </w:rPr>
              <w:t>可</w:t>
            </w:r>
            <w:r>
              <w:rPr>
                <w:rFonts w:ascii="宋体" w:hAnsi="宋体" w:cs="宋体"/>
                <w:sz w:val="22"/>
                <w:szCs w:val="22"/>
              </w:rPr>
              <w:t>以</w:t>
            </w:r>
            <w:r>
              <w:rPr>
                <w:rFonts w:ascii="宋体" w:hAnsi="宋体" w:cs="宋体"/>
                <w:spacing w:val="-2"/>
                <w:sz w:val="22"/>
                <w:szCs w:val="22"/>
              </w:rPr>
              <w:t>被</w:t>
            </w:r>
            <w:r>
              <w:rPr>
                <w:rFonts w:ascii="宋体" w:hAnsi="宋体" w:cs="宋体"/>
                <w:sz w:val="22"/>
                <w:szCs w:val="22"/>
              </w:rPr>
              <w:t>接</w:t>
            </w:r>
            <w:r>
              <w:rPr>
                <w:rFonts w:ascii="宋体" w:hAnsi="宋体" w:cs="宋体"/>
                <w:spacing w:val="-2"/>
                <w:sz w:val="22"/>
                <w:szCs w:val="22"/>
              </w:rPr>
              <w:t>受</w:t>
            </w:r>
            <w:r>
              <w:rPr>
                <w:rFonts w:ascii="宋体" w:hAnsi="宋体" w:cs="宋体"/>
                <w:sz w:val="22"/>
                <w:szCs w:val="22"/>
              </w:rPr>
              <w:t>的</w:t>
            </w:r>
            <w:r>
              <w:rPr>
                <w:rFonts w:ascii="宋体" w:hAnsi="宋体" w:cs="宋体"/>
                <w:spacing w:val="-2"/>
                <w:sz w:val="22"/>
                <w:szCs w:val="22"/>
              </w:rPr>
              <w:t>技</w:t>
            </w:r>
            <w:r>
              <w:rPr>
                <w:rFonts w:ascii="宋体" w:hAnsi="宋体" w:cs="宋体"/>
                <w:sz w:val="22"/>
                <w:szCs w:val="22"/>
              </w:rPr>
              <w:t>术</w:t>
            </w:r>
            <w:r>
              <w:rPr>
                <w:rFonts w:ascii="宋体" w:hAnsi="宋体" w:cs="宋体"/>
                <w:spacing w:val="-2"/>
                <w:sz w:val="22"/>
                <w:szCs w:val="22"/>
              </w:rPr>
              <w:t>支</w:t>
            </w:r>
            <w:r>
              <w:rPr>
                <w:rFonts w:ascii="宋体" w:hAnsi="宋体" w:cs="宋体"/>
                <w:sz w:val="22"/>
                <w:szCs w:val="22"/>
              </w:rPr>
              <w:t>持资料</w:t>
            </w:r>
          </w:p>
        </w:tc>
        <w:tc>
          <w:tcPr>
            <w:tcW w:w="6114" w:type="dxa"/>
            <w:vAlign w:val="center"/>
          </w:tcPr>
          <w:p>
            <w:pPr>
              <w:spacing w:line="340" w:lineRule="exact"/>
              <w:rPr>
                <w:rFonts w:ascii="宋体" w:hAnsi="宋体" w:cs="宋体"/>
                <w:sz w:val="22"/>
                <w:szCs w:val="22"/>
              </w:rPr>
            </w:pPr>
            <w:r>
              <w:rPr>
                <w:rFonts w:hint="eastAsia" w:ascii="宋体" w:hAnsi="宋体" w:cs="宋体"/>
                <w:sz w:val="22"/>
                <w:szCs w:val="22"/>
              </w:rPr>
              <w:t>详见评标办法前附表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99" w:type="dxa"/>
            <w:vAlign w:val="center"/>
          </w:tcPr>
          <w:p>
            <w:pPr>
              <w:widowControl w:val="0"/>
              <w:jc w:val="center"/>
              <w:rPr>
                <w:rFonts w:ascii="宋体" w:hAnsi="宋体" w:cs="宋体"/>
                <w:szCs w:val="21"/>
              </w:rPr>
            </w:pPr>
            <w:r>
              <w:rPr>
                <w:rFonts w:hint="eastAsia" w:ascii="宋体" w:hAnsi="宋体" w:cs="宋体"/>
                <w:szCs w:val="21"/>
              </w:rPr>
              <w:t>1.11.4</w:t>
            </w:r>
          </w:p>
        </w:tc>
        <w:tc>
          <w:tcPr>
            <w:tcW w:w="3136" w:type="dxa"/>
            <w:vAlign w:val="center"/>
          </w:tcPr>
          <w:p>
            <w:pPr>
              <w:widowControl w:val="0"/>
              <w:jc w:val="center"/>
              <w:rPr>
                <w:rFonts w:ascii="宋体" w:hAnsi="宋体" w:cs="宋体"/>
                <w:szCs w:val="21"/>
              </w:rPr>
            </w:pPr>
            <w:r>
              <w:rPr>
                <w:rFonts w:hint="eastAsia" w:ascii="宋体" w:hAnsi="宋体" w:cs="宋体"/>
                <w:szCs w:val="21"/>
              </w:rPr>
              <w:t>偏差</w:t>
            </w:r>
          </w:p>
        </w:tc>
        <w:tc>
          <w:tcPr>
            <w:tcW w:w="6114" w:type="dxa"/>
          </w:tcPr>
          <w:p>
            <w:pPr>
              <w:widowControl w:val="0"/>
              <w:spacing w:line="360" w:lineRule="exact"/>
              <w:jc w:val="left"/>
              <w:rPr>
                <w:rFonts w:ascii="宋体" w:hAnsi="宋体"/>
              </w:rPr>
            </w:pPr>
            <w:r>
              <w:rPr>
                <w:rFonts w:hint="eastAsia" w:ascii="宋体" w:hAnsi="宋体"/>
                <w:b/>
                <w:sz w:val="24"/>
                <w:szCs w:val="24"/>
              </w:rPr>
              <w:sym w:font="Wingdings" w:char="F0FE"/>
            </w:r>
            <w:r>
              <w:rPr>
                <w:rFonts w:hint="eastAsia" w:ascii="宋体" w:hAnsi="宋体"/>
              </w:rPr>
              <w:t>不允许</w:t>
            </w:r>
          </w:p>
          <w:p>
            <w:pPr>
              <w:widowControl w:val="0"/>
              <w:spacing w:line="360" w:lineRule="exact"/>
              <w:jc w:val="left"/>
              <w:rPr>
                <w:rFonts w:ascii="宋体" w:hAnsi="宋体"/>
                <w:szCs w:val="22"/>
              </w:rPr>
            </w:pPr>
            <w:r>
              <w:rPr>
                <w:rFonts w:hint="eastAsia" w:ascii="宋体" w:hAnsi="宋体"/>
                <w:b/>
                <w:color w:val="000000"/>
                <w:szCs w:val="21"/>
              </w:rPr>
              <w:t>□</w:t>
            </w:r>
            <w:r>
              <w:rPr>
                <w:rFonts w:hint="eastAsia" w:ascii="宋体" w:hAnsi="宋体"/>
                <w:szCs w:val="22"/>
              </w:rPr>
              <w:t>允许，偏差范围：</w:t>
            </w:r>
          </w:p>
          <w:p>
            <w:pPr>
              <w:widowControl w:val="0"/>
              <w:spacing w:line="360" w:lineRule="exact"/>
              <w:ind w:firstLine="840" w:firstLineChars="400"/>
              <w:jc w:val="left"/>
              <w:rPr>
                <w:rFonts w:ascii="宋体" w:hAnsi="宋体"/>
              </w:rPr>
            </w:pPr>
            <w:r>
              <w:rPr>
                <w:rFonts w:hint="eastAsia" w:ascii="宋体" w:hAnsi="宋体"/>
                <w:szCs w:val="22"/>
              </w:rPr>
              <w:t>最高项数：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trPr>
        <w:tc>
          <w:tcPr>
            <w:tcW w:w="1099" w:type="dxa"/>
            <w:vAlign w:val="center"/>
          </w:tcPr>
          <w:p>
            <w:pPr>
              <w:widowControl w:val="0"/>
              <w:jc w:val="center"/>
              <w:rPr>
                <w:rFonts w:ascii="宋体" w:hAnsi="宋体" w:cs="宋体"/>
                <w:szCs w:val="21"/>
              </w:rPr>
            </w:pPr>
            <w:r>
              <w:rPr>
                <w:rFonts w:hint="eastAsia" w:ascii="宋体" w:hAnsi="宋体" w:cs="宋体"/>
                <w:szCs w:val="21"/>
              </w:rPr>
              <w:t>2.1</w:t>
            </w:r>
          </w:p>
        </w:tc>
        <w:tc>
          <w:tcPr>
            <w:tcW w:w="3136" w:type="dxa"/>
            <w:vAlign w:val="center"/>
          </w:tcPr>
          <w:p>
            <w:pPr>
              <w:widowControl w:val="0"/>
              <w:spacing w:line="360" w:lineRule="exact"/>
              <w:jc w:val="center"/>
              <w:rPr>
                <w:rFonts w:ascii="宋体" w:hAnsi="宋体" w:cs="宋体"/>
                <w:szCs w:val="21"/>
              </w:rPr>
            </w:pPr>
            <w:r>
              <w:rPr>
                <w:rFonts w:hint="eastAsia" w:ascii="宋体" w:hAnsi="宋体" w:cs="宋体"/>
                <w:szCs w:val="21"/>
              </w:rPr>
              <w:t>构成招标文件的其他资料</w:t>
            </w:r>
          </w:p>
        </w:tc>
        <w:tc>
          <w:tcPr>
            <w:tcW w:w="6114" w:type="dxa"/>
          </w:tcPr>
          <w:p>
            <w:pPr>
              <w:widowControl w:val="0"/>
              <w:spacing w:line="360" w:lineRule="exact"/>
              <w:jc w:val="left"/>
              <w:rPr>
                <w:rFonts w:ascii="宋体" w:hAnsi="宋体"/>
              </w:rPr>
            </w:pPr>
            <w:r>
              <w:rPr>
                <w:rFonts w:hint="eastAsia" w:ascii="宋体" w:hAnsi="宋体"/>
                <w:szCs w:val="21"/>
              </w:rPr>
              <w:t>招标文件澄清、修改通知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99" w:type="dxa"/>
            <w:vAlign w:val="center"/>
          </w:tcPr>
          <w:p>
            <w:pPr>
              <w:widowControl w:val="0"/>
              <w:jc w:val="center"/>
              <w:rPr>
                <w:rFonts w:ascii="宋体" w:hAnsi="宋体" w:cs="宋体"/>
                <w:szCs w:val="21"/>
              </w:rPr>
            </w:pPr>
            <w:r>
              <w:rPr>
                <w:rFonts w:hint="eastAsia" w:ascii="宋体" w:hAnsi="宋体" w:cs="宋体"/>
                <w:szCs w:val="21"/>
              </w:rPr>
              <w:t>2.2.1</w:t>
            </w:r>
          </w:p>
        </w:tc>
        <w:tc>
          <w:tcPr>
            <w:tcW w:w="3136" w:type="dxa"/>
            <w:vAlign w:val="center"/>
          </w:tcPr>
          <w:p>
            <w:pPr>
              <w:widowControl w:val="0"/>
              <w:jc w:val="center"/>
              <w:rPr>
                <w:rFonts w:ascii="宋体" w:hAnsi="宋体" w:cs="宋体"/>
                <w:szCs w:val="21"/>
              </w:rPr>
            </w:pPr>
            <w:r>
              <w:rPr>
                <w:rFonts w:hint="eastAsia" w:ascii="宋体" w:hAnsi="宋体" w:cs="宋体"/>
                <w:szCs w:val="21"/>
              </w:rPr>
              <w:t>投标人要求澄清招标文件</w:t>
            </w:r>
          </w:p>
        </w:tc>
        <w:tc>
          <w:tcPr>
            <w:tcW w:w="6114" w:type="dxa"/>
          </w:tcPr>
          <w:p>
            <w:pPr>
              <w:widowControl w:val="0"/>
              <w:spacing w:line="360" w:lineRule="exact"/>
              <w:jc w:val="left"/>
              <w:rPr>
                <w:rFonts w:ascii="宋体" w:hAnsi="宋体"/>
              </w:rPr>
            </w:pPr>
            <w:r>
              <w:rPr>
                <w:rFonts w:hint="eastAsia" w:ascii="宋体" w:hAnsi="宋体"/>
              </w:rPr>
              <w:t>时间：投标截止时间10日前</w:t>
            </w:r>
          </w:p>
          <w:p>
            <w:pPr>
              <w:widowControl w:val="0"/>
              <w:spacing w:line="360" w:lineRule="exact"/>
              <w:jc w:val="left"/>
              <w:rPr>
                <w:rFonts w:ascii="宋体" w:hAnsi="宋体"/>
              </w:rPr>
            </w:pPr>
            <w:r>
              <w:rPr>
                <w:rFonts w:hint="eastAsia" w:ascii="宋体" w:hAnsi="宋体"/>
              </w:rPr>
              <w:t>形式：书面形式</w:t>
            </w:r>
            <w:r>
              <w:rPr>
                <w:rFonts w:hint="eastAsia" w:hAnsi="宋体"/>
                <w:szCs w:val="21"/>
              </w:rPr>
              <w:t>（包括信函或传真）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trPr>
        <w:tc>
          <w:tcPr>
            <w:tcW w:w="1099" w:type="dxa"/>
            <w:vAlign w:val="center"/>
          </w:tcPr>
          <w:p>
            <w:pPr>
              <w:widowControl w:val="0"/>
              <w:jc w:val="center"/>
              <w:rPr>
                <w:rFonts w:ascii="宋体" w:hAnsi="宋体" w:cs="宋体"/>
                <w:szCs w:val="21"/>
              </w:rPr>
            </w:pPr>
            <w:r>
              <w:rPr>
                <w:rFonts w:hint="eastAsia" w:ascii="宋体" w:hAnsi="宋体" w:cs="宋体"/>
                <w:szCs w:val="21"/>
              </w:rPr>
              <w:t>2.2.2</w:t>
            </w:r>
          </w:p>
        </w:tc>
        <w:tc>
          <w:tcPr>
            <w:tcW w:w="3136" w:type="dxa"/>
            <w:vAlign w:val="center"/>
          </w:tcPr>
          <w:p>
            <w:pPr>
              <w:widowControl w:val="0"/>
              <w:spacing w:line="360" w:lineRule="exact"/>
              <w:jc w:val="center"/>
              <w:rPr>
                <w:rFonts w:ascii="宋体" w:hAnsi="宋体" w:cs="宋体"/>
                <w:szCs w:val="21"/>
              </w:rPr>
            </w:pPr>
            <w:r>
              <w:rPr>
                <w:rFonts w:hint="eastAsia" w:ascii="宋体" w:hAnsi="宋体" w:cs="宋体"/>
                <w:szCs w:val="21"/>
              </w:rPr>
              <w:t>招标文件澄清发出的形式</w:t>
            </w:r>
          </w:p>
        </w:tc>
        <w:tc>
          <w:tcPr>
            <w:tcW w:w="6114" w:type="dxa"/>
          </w:tcPr>
          <w:p>
            <w:pPr>
              <w:widowControl w:val="0"/>
              <w:spacing w:line="360" w:lineRule="exact"/>
              <w:jc w:val="left"/>
              <w:rPr>
                <w:rFonts w:ascii="宋体" w:hAnsi="宋体"/>
              </w:rPr>
            </w:pPr>
            <w:r>
              <w:rPr>
                <w:rFonts w:hint="eastAsia" w:ascii="宋体" w:hAnsi="宋体"/>
              </w:rPr>
              <w:t>书面形式</w:t>
            </w:r>
            <w:r>
              <w:rPr>
                <w:rFonts w:hint="eastAsia" w:hAnsi="宋体"/>
                <w:szCs w:val="21"/>
              </w:rPr>
              <w:t>（包括信函或传真）通知所有购买招标文件的投标人。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99" w:type="dxa"/>
            <w:vAlign w:val="center"/>
          </w:tcPr>
          <w:p>
            <w:pPr>
              <w:widowControl w:val="0"/>
              <w:jc w:val="center"/>
              <w:rPr>
                <w:rFonts w:ascii="宋体" w:hAnsi="宋体" w:cs="宋体"/>
                <w:szCs w:val="21"/>
              </w:rPr>
            </w:pPr>
            <w:r>
              <w:rPr>
                <w:rFonts w:hint="eastAsia" w:ascii="宋体" w:hAnsi="宋体" w:cs="宋体"/>
                <w:szCs w:val="21"/>
              </w:rPr>
              <w:t>2.2.3</w:t>
            </w:r>
          </w:p>
        </w:tc>
        <w:tc>
          <w:tcPr>
            <w:tcW w:w="3136" w:type="dxa"/>
            <w:vAlign w:val="center"/>
          </w:tcPr>
          <w:p>
            <w:pPr>
              <w:widowControl w:val="0"/>
              <w:jc w:val="center"/>
              <w:rPr>
                <w:rFonts w:ascii="宋体" w:hAnsi="宋体" w:cs="宋体"/>
                <w:szCs w:val="21"/>
              </w:rPr>
            </w:pPr>
            <w:r>
              <w:rPr>
                <w:rFonts w:hint="eastAsia" w:ascii="宋体" w:hAnsi="宋体" w:cs="宋体"/>
                <w:szCs w:val="21"/>
              </w:rPr>
              <w:t>投标人确认收到招标文件澄清</w:t>
            </w:r>
          </w:p>
        </w:tc>
        <w:tc>
          <w:tcPr>
            <w:tcW w:w="6114" w:type="dxa"/>
          </w:tcPr>
          <w:p>
            <w:pPr>
              <w:widowControl w:val="0"/>
              <w:spacing w:line="360" w:lineRule="exact"/>
              <w:jc w:val="left"/>
              <w:rPr>
                <w:rFonts w:ascii="宋体" w:hAnsi="宋体"/>
              </w:rPr>
            </w:pPr>
            <w:r>
              <w:rPr>
                <w:rFonts w:hint="eastAsia" w:ascii="宋体" w:hAnsi="宋体"/>
              </w:rPr>
              <w:t>时间：在收到相应澄清文件后24小时内</w:t>
            </w:r>
          </w:p>
          <w:p>
            <w:pPr>
              <w:widowControl w:val="0"/>
              <w:spacing w:line="360" w:lineRule="exact"/>
              <w:jc w:val="left"/>
              <w:rPr>
                <w:rFonts w:ascii="宋体" w:hAnsi="宋体"/>
              </w:rPr>
            </w:pPr>
            <w:r>
              <w:rPr>
                <w:rFonts w:hint="eastAsia" w:ascii="宋体" w:hAnsi="宋体"/>
              </w:rPr>
              <w:t>形式：书面形式</w:t>
            </w:r>
            <w:r>
              <w:rPr>
                <w:rFonts w:hint="eastAsia" w:hAnsi="宋体"/>
                <w:szCs w:val="21"/>
              </w:rPr>
              <w:t>（包括信函或传真）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trPr>
        <w:tc>
          <w:tcPr>
            <w:tcW w:w="1099" w:type="dxa"/>
            <w:vAlign w:val="center"/>
          </w:tcPr>
          <w:p>
            <w:pPr>
              <w:widowControl w:val="0"/>
              <w:jc w:val="center"/>
              <w:rPr>
                <w:rFonts w:ascii="宋体" w:hAnsi="宋体" w:cs="宋体"/>
                <w:szCs w:val="21"/>
              </w:rPr>
            </w:pPr>
            <w:r>
              <w:rPr>
                <w:rFonts w:hint="eastAsia" w:ascii="宋体" w:hAnsi="宋体" w:cs="宋体"/>
                <w:szCs w:val="21"/>
              </w:rPr>
              <w:t>2.3.1</w:t>
            </w:r>
          </w:p>
        </w:tc>
        <w:tc>
          <w:tcPr>
            <w:tcW w:w="3136" w:type="dxa"/>
            <w:vAlign w:val="center"/>
          </w:tcPr>
          <w:p>
            <w:pPr>
              <w:widowControl w:val="0"/>
              <w:jc w:val="center"/>
              <w:rPr>
                <w:rFonts w:ascii="宋体" w:hAnsi="宋体" w:cs="宋体"/>
                <w:szCs w:val="21"/>
              </w:rPr>
            </w:pPr>
            <w:r>
              <w:rPr>
                <w:rFonts w:hint="eastAsia" w:ascii="宋体" w:hAnsi="宋体" w:cs="宋体"/>
                <w:szCs w:val="21"/>
              </w:rPr>
              <w:t>招标文件修改发出的形式</w:t>
            </w:r>
          </w:p>
        </w:tc>
        <w:tc>
          <w:tcPr>
            <w:tcW w:w="6114" w:type="dxa"/>
          </w:tcPr>
          <w:p>
            <w:pPr>
              <w:widowControl w:val="0"/>
              <w:spacing w:line="360" w:lineRule="exact"/>
              <w:jc w:val="left"/>
              <w:rPr>
                <w:rFonts w:ascii="宋体" w:hAnsi="宋体"/>
              </w:rPr>
            </w:pPr>
            <w:r>
              <w:rPr>
                <w:rFonts w:hint="eastAsia" w:ascii="宋体" w:hAnsi="宋体"/>
              </w:rPr>
              <w:t>书面形式</w:t>
            </w:r>
            <w:r>
              <w:rPr>
                <w:rFonts w:hint="eastAsia" w:hAnsi="宋体"/>
                <w:szCs w:val="21"/>
              </w:rPr>
              <w:t>（包括信函或传真）通知所有购买招标文件的投标人。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99" w:type="dxa"/>
            <w:vAlign w:val="center"/>
          </w:tcPr>
          <w:p>
            <w:pPr>
              <w:widowControl w:val="0"/>
              <w:jc w:val="center"/>
              <w:rPr>
                <w:rFonts w:ascii="宋体" w:hAnsi="宋体" w:cs="宋体"/>
                <w:szCs w:val="21"/>
              </w:rPr>
            </w:pPr>
            <w:r>
              <w:rPr>
                <w:rFonts w:hint="eastAsia" w:ascii="宋体" w:hAnsi="宋体" w:cs="宋体"/>
                <w:szCs w:val="21"/>
              </w:rPr>
              <w:t>2.3.2</w:t>
            </w:r>
          </w:p>
        </w:tc>
        <w:tc>
          <w:tcPr>
            <w:tcW w:w="3136" w:type="dxa"/>
            <w:vAlign w:val="center"/>
          </w:tcPr>
          <w:p>
            <w:pPr>
              <w:widowControl w:val="0"/>
              <w:jc w:val="center"/>
              <w:rPr>
                <w:rFonts w:ascii="宋体" w:hAnsi="宋体" w:cs="宋体"/>
                <w:szCs w:val="21"/>
              </w:rPr>
            </w:pPr>
            <w:r>
              <w:rPr>
                <w:rFonts w:hint="eastAsia" w:ascii="宋体" w:hAnsi="宋体" w:cs="宋体"/>
                <w:szCs w:val="21"/>
              </w:rPr>
              <w:t>投标人确认收到招标文件修改</w:t>
            </w:r>
          </w:p>
        </w:tc>
        <w:tc>
          <w:tcPr>
            <w:tcW w:w="6114" w:type="dxa"/>
          </w:tcPr>
          <w:p>
            <w:pPr>
              <w:widowControl w:val="0"/>
              <w:spacing w:line="360" w:lineRule="exact"/>
              <w:jc w:val="left"/>
              <w:rPr>
                <w:rFonts w:ascii="宋体" w:hAnsi="宋体"/>
              </w:rPr>
            </w:pPr>
            <w:r>
              <w:rPr>
                <w:rFonts w:hint="eastAsia" w:ascii="宋体" w:hAnsi="宋体"/>
              </w:rPr>
              <w:t>时间：在收到相应修改文件后24小时内</w:t>
            </w:r>
          </w:p>
          <w:p>
            <w:pPr>
              <w:widowControl w:val="0"/>
              <w:spacing w:line="360" w:lineRule="exact"/>
              <w:jc w:val="left"/>
              <w:rPr>
                <w:rFonts w:ascii="宋体" w:hAnsi="宋体"/>
              </w:rPr>
            </w:pPr>
            <w:r>
              <w:rPr>
                <w:rFonts w:hint="eastAsia" w:ascii="宋体" w:hAnsi="宋体"/>
              </w:rPr>
              <w:t>形式：书面形式</w:t>
            </w:r>
            <w:r>
              <w:rPr>
                <w:rFonts w:hint="eastAsia" w:hAnsi="宋体"/>
                <w:szCs w:val="21"/>
              </w:rPr>
              <w:t>（包括信函或传真）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1" w:hRule="atLeast"/>
        </w:trPr>
        <w:tc>
          <w:tcPr>
            <w:tcW w:w="1099" w:type="dxa"/>
            <w:vAlign w:val="center"/>
          </w:tcPr>
          <w:p>
            <w:pPr>
              <w:widowControl w:val="0"/>
              <w:jc w:val="center"/>
              <w:rPr>
                <w:rFonts w:ascii="宋体" w:hAnsi="宋体" w:cs="宋体"/>
                <w:szCs w:val="21"/>
              </w:rPr>
            </w:pPr>
            <w:r>
              <w:rPr>
                <w:rFonts w:hint="eastAsia" w:ascii="宋体" w:hAnsi="宋体" w:cs="宋体"/>
                <w:szCs w:val="21"/>
              </w:rPr>
              <w:t>3.1.1</w:t>
            </w:r>
          </w:p>
        </w:tc>
        <w:tc>
          <w:tcPr>
            <w:tcW w:w="3136" w:type="dxa"/>
            <w:vAlign w:val="center"/>
          </w:tcPr>
          <w:p>
            <w:pPr>
              <w:widowControl w:val="0"/>
              <w:jc w:val="center"/>
              <w:rPr>
                <w:rFonts w:ascii="宋体" w:hAnsi="宋体" w:cs="宋体"/>
                <w:szCs w:val="21"/>
              </w:rPr>
            </w:pPr>
            <w:r>
              <w:rPr>
                <w:rFonts w:hint="eastAsia" w:ascii="宋体" w:hAnsi="宋体" w:cs="宋体"/>
                <w:szCs w:val="21"/>
              </w:rPr>
              <w:t>构成投标文件的其他资料</w:t>
            </w:r>
          </w:p>
        </w:tc>
        <w:tc>
          <w:tcPr>
            <w:tcW w:w="6114" w:type="dxa"/>
            <w:vAlign w:val="center"/>
          </w:tcPr>
          <w:p>
            <w:pPr>
              <w:widowControl w:val="0"/>
              <w:tabs>
                <w:tab w:val="left" w:pos="1734"/>
              </w:tabs>
              <w:spacing w:before="120" w:beforeLines="50" w:line="360" w:lineRule="exact"/>
              <w:ind w:right="17"/>
              <w:rPr>
                <w:rFonts w:ascii="宋体" w:hAnsi="宋体" w:cs="宋体"/>
                <w:bCs/>
                <w:szCs w:val="21"/>
                <w:lang w:val="zh-CN"/>
              </w:rPr>
            </w:pPr>
            <w:r>
              <w:rPr>
                <w:rFonts w:hint="eastAsia" w:ascii="宋体" w:hAnsi="宋体" w:cs="宋体"/>
                <w:bCs/>
                <w:szCs w:val="21"/>
                <w:lang w:val="zh-CN"/>
              </w:rPr>
              <w:t>投标人下列资质证明文件原件随投标文件同时递交：</w:t>
            </w:r>
          </w:p>
          <w:p>
            <w:pPr>
              <w:widowControl w:val="0"/>
              <w:tabs>
                <w:tab w:val="left" w:pos="1734"/>
              </w:tabs>
              <w:spacing w:line="360" w:lineRule="exact"/>
              <w:ind w:right="17"/>
              <w:rPr>
                <w:rFonts w:ascii="宋体" w:hAnsi="宋体" w:cs="宋体"/>
                <w:bCs/>
                <w:szCs w:val="21"/>
              </w:rPr>
            </w:pPr>
            <w:r>
              <w:rPr>
                <w:rFonts w:hint="eastAsia" w:ascii="宋体" w:hAnsi="宋体" w:cs="宋体"/>
                <w:bCs/>
                <w:szCs w:val="21"/>
                <w:lang w:val="zh-CN"/>
              </w:rPr>
              <w:t>1、营业执照副本</w:t>
            </w:r>
            <w:r>
              <w:rPr>
                <w:rFonts w:hint="eastAsia" w:ascii="宋体" w:hAnsi="宋体" w:cs="宋体"/>
                <w:bCs/>
                <w:szCs w:val="21"/>
              </w:rPr>
              <w:t>；</w:t>
            </w:r>
          </w:p>
          <w:p>
            <w:pPr>
              <w:widowControl w:val="0"/>
              <w:tabs>
                <w:tab w:val="left" w:pos="1734"/>
              </w:tabs>
              <w:spacing w:line="360" w:lineRule="exact"/>
              <w:ind w:right="17"/>
              <w:rPr>
                <w:rFonts w:ascii="宋体" w:hAnsi="宋体" w:cs="宋体"/>
                <w:b/>
                <w:bCs/>
                <w:color w:val="FF0000"/>
                <w:szCs w:val="21"/>
              </w:rPr>
            </w:pPr>
            <w:r>
              <w:rPr>
                <w:rFonts w:hint="eastAsia" w:ascii="宋体" w:hAnsi="宋体" w:cs="宋体"/>
                <w:bCs/>
                <w:szCs w:val="21"/>
                <w:lang w:val="zh-CN"/>
              </w:rPr>
              <w:t>2、类似项目业绩中标通知书或合同协议书，</w:t>
            </w:r>
            <w:r>
              <w:rPr>
                <w:rFonts w:hint="eastAsia" w:ascii="宋体" w:hAnsi="宋体" w:cs="宋体"/>
                <w:b/>
                <w:bCs/>
                <w:szCs w:val="21"/>
                <w:lang w:val="zh-CN"/>
              </w:rPr>
              <w:t>设备进场验收证明</w:t>
            </w:r>
            <w:r>
              <w:rPr>
                <w:rFonts w:hint="eastAsia" w:ascii="宋体" w:hAnsi="宋体" w:cs="宋体"/>
                <w:bCs/>
                <w:szCs w:val="21"/>
              </w:rPr>
              <w:t>。</w:t>
            </w:r>
          </w:p>
          <w:p>
            <w:pPr>
              <w:widowControl w:val="0"/>
              <w:tabs>
                <w:tab w:val="left" w:pos="1734"/>
              </w:tabs>
              <w:spacing w:line="360" w:lineRule="exact"/>
              <w:ind w:right="17"/>
              <w:rPr>
                <w:rFonts w:ascii="宋体" w:hAnsi="宋体" w:cs="宋体"/>
                <w:bCs/>
                <w:szCs w:val="21"/>
              </w:rPr>
            </w:pPr>
            <w:r>
              <w:rPr>
                <w:rFonts w:hint="eastAsia" w:ascii="宋体" w:hAnsi="宋体" w:cs="宋体"/>
                <w:bCs/>
                <w:szCs w:val="21"/>
              </w:rPr>
              <w:t>3、投标人在</w:t>
            </w:r>
            <w:r>
              <w:rPr>
                <w:rFonts w:hint="eastAsia" w:ascii="宋体" w:hAnsi="宋体"/>
                <w:szCs w:val="21"/>
                <w:lang w:val="zh-CN"/>
              </w:rPr>
              <w:t>中国裁判文书网打印的投标人或法定代表人、拟委任的项目负责人无行贿查询结果截图（并加盖公章）</w:t>
            </w:r>
            <w:r>
              <w:rPr>
                <w:rFonts w:hint="eastAsia" w:ascii="宋体" w:hAnsi="宋体" w:cs="宋体"/>
                <w:bCs/>
                <w:szCs w:val="21"/>
              </w:rPr>
              <w:t>。</w:t>
            </w:r>
          </w:p>
          <w:p>
            <w:pPr>
              <w:widowControl w:val="0"/>
              <w:spacing w:line="360" w:lineRule="exact"/>
              <w:rPr>
                <w:rFonts w:ascii="宋体" w:hAnsi="宋体"/>
              </w:rPr>
            </w:pPr>
            <w:r>
              <w:rPr>
                <w:rFonts w:hint="eastAsia" w:ascii="宋体" w:hAnsi="宋体" w:cs="宋体"/>
                <w:bCs/>
                <w:szCs w:val="21"/>
              </w:rPr>
              <w:t>上述证件需单独密封粘贴封条并在封套的封口处加盖投标人单位公章，封皮加盖投标单位公章、标明联系人、联系电话、内装原件名称数量等，随投标文件同时递交。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trPr>
        <w:tc>
          <w:tcPr>
            <w:tcW w:w="1099" w:type="dxa"/>
            <w:vAlign w:val="center"/>
          </w:tcPr>
          <w:p>
            <w:pPr>
              <w:widowControl w:val="0"/>
              <w:spacing w:line="360" w:lineRule="exact"/>
              <w:jc w:val="center"/>
              <w:rPr>
                <w:rFonts w:ascii="宋体" w:hAnsi="宋体" w:cs="宋体"/>
                <w:szCs w:val="21"/>
              </w:rPr>
            </w:pPr>
            <w:r>
              <w:rPr>
                <w:rFonts w:hint="eastAsia" w:ascii="宋体" w:hAnsi="宋体" w:cs="宋体"/>
                <w:szCs w:val="21"/>
              </w:rPr>
              <w:t>3.2.1</w:t>
            </w:r>
          </w:p>
        </w:tc>
        <w:tc>
          <w:tcPr>
            <w:tcW w:w="3136" w:type="dxa"/>
            <w:vAlign w:val="center"/>
          </w:tcPr>
          <w:p>
            <w:pPr>
              <w:widowControl w:val="0"/>
              <w:spacing w:line="360" w:lineRule="exact"/>
              <w:jc w:val="center"/>
              <w:rPr>
                <w:rFonts w:ascii="宋体" w:hAnsi="宋体" w:cs="宋体"/>
                <w:szCs w:val="21"/>
              </w:rPr>
            </w:pPr>
            <w:r>
              <w:rPr>
                <w:rFonts w:hint="eastAsia" w:ascii="宋体" w:hAnsi="宋体" w:cs="宋体"/>
                <w:szCs w:val="21"/>
              </w:rPr>
              <w:t>增值税税金的计算方法</w:t>
            </w:r>
          </w:p>
        </w:tc>
        <w:tc>
          <w:tcPr>
            <w:tcW w:w="6114" w:type="dxa"/>
          </w:tcPr>
          <w:p>
            <w:pPr>
              <w:widowControl w:val="0"/>
              <w:spacing w:line="360" w:lineRule="exact"/>
              <w:jc w:val="left"/>
              <w:rPr>
                <w:rFonts w:ascii="宋体" w:hAnsi="宋体"/>
              </w:rPr>
            </w:pPr>
            <w:r>
              <w:rPr>
                <w:rFonts w:hint="eastAsia" w:ascii="宋体" w:hAnsi="宋体"/>
              </w:rPr>
              <w:t>按一般计税方法计算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4" w:hRule="exact"/>
        </w:trPr>
        <w:tc>
          <w:tcPr>
            <w:tcW w:w="1099" w:type="dxa"/>
            <w:vAlign w:val="center"/>
          </w:tcPr>
          <w:p>
            <w:pPr>
              <w:widowControl w:val="0"/>
              <w:spacing w:line="360" w:lineRule="exact"/>
              <w:jc w:val="center"/>
              <w:rPr>
                <w:rFonts w:ascii="宋体" w:hAnsi="宋体" w:cs="宋体"/>
                <w:szCs w:val="21"/>
              </w:rPr>
            </w:pPr>
            <w:r>
              <w:rPr>
                <w:rFonts w:hint="eastAsia" w:ascii="宋体" w:hAnsi="宋体" w:cs="宋体"/>
                <w:szCs w:val="21"/>
              </w:rPr>
              <w:t>3.2.4</w:t>
            </w:r>
          </w:p>
        </w:tc>
        <w:tc>
          <w:tcPr>
            <w:tcW w:w="3136" w:type="dxa"/>
            <w:vAlign w:val="center"/>
          </w:tcPr>
          <w:p>
            <w:pPr>
              <w:widowControl w:val="0"/>
              <w:spacing w:line="360" w:lineRule="exact"/>
              <w:jc w:val="center"/>
              <w:rPr>
                <w:rFonts w:ascii="宋体" w:hAnsi="宋体" w:cs="宋体"/>
                <w:szCs w:val="21"/>
              </w:rPr>
            </w:pPr>
            <w:r>
              <w:rPr>
                <w:rFonts w:hint="eastAsia" w:ascii="宋体" w:hAnsi="宋体" w:cs="宋体"/>
                <w:szCs w:val="21"/>
              </w:rPr>
              <w:t>最高投标限价</w:t>
            </w:r>
          </w:p>
        </w:tc>
        <w:tc>
          <w:tcPr>
            <w:tcW w:w="6114" w:type="dxa"/>
          </w:tcPr>
          <w:p>
            <w:pPr>
              <w:widowControl w:val="0"/>
              <w:spacing w:line="360" w:lineRule="exact"/>
              <w:jc w:val="left"/>
              <w:rPr>
                <w:rFonts w:ascii="宋体" w:hAnsi="宋体"/>
                <w:szCs w:val="21"/>
              </w:rPr>
            </w:pPr>
            <w:r>
              <w:rPr>
                <w:rFonts w:hint="eastAsia" w:ascii="宋体" w:hAnsi="宋体"/>
                <w:b/>
                <w:color w:val="000000"/>
                <w:szCs w:val="21"/>
              </w:rPr>
              <w:t>□</w:t>
            </w:r>
            <w:r>
              <w:rPr>
                <w:rFonts w:hint="eastAsia" w:ascii="宋体" w:hAnsi="宋体"/>
                <w:szCs w:val="21"/>
              </w:rPr>
              <w:t>无</w:t>
            </w:r>
          </w:p>
          <w:p>
            <w:pPr>
              <w:widowControl w:val="0"/>
              <w:spacing w:line="360" w:lineRule="exact"/>
              <w:jc w:val="left"/>
              <w:rPr>
                <w:rFonts w:ascii="宋体" w:hAnsi="宋体"/>
                <w:szCs w:val="21"/>
              </w:rPr>
            </w:pPr>
            <w:r>
              <w:rPr>
                <w:rFonts w:hint="eastAsia" w:ascii="宋体" w:hAnsi="宋体"/>
                <w:b/>
                <w:szCs w:val="21"/>
              </w:rPr>
              <w:sym w:font="Wingdings" w:char="F0FE"/>
            </w:r>
            <w:r>
              <w:rPr>
                <w:rFonts w:hint="eastAsia" w:ascii="宋体" w:hAnsi="宋体"/>
                <w:szCs w:val="21"/>
              </w:rPr>
              <w:t>有，最高投标限价：</w:t>
            </w:r>
            <w:r>
              <w:rPr>
                <w:rFonts w:ascii="宋体" w:hAnsi="宋体"/>
                <w:szCs w:val="21"/>
              </w:rPr>
              <w:t>150</w:t>
            </w:r>
            <w:r>
              <w:rPr>
                <w:rFonts w:hint="eastAsia" w:ascii="宋体" w:hAnsi="宋体"/>
                <w:szCs w:val="21"/>
              </w:rPr>
              <w:t>.</w:t>
            </w:r>
            <w:r>
              <w:rPr>
                <w:rFonts w:ascii="宋体" w:hAnsi="宋体"/>
                <w:szCs w:val="21"/>
              </w:rPr>
              <w:t>3834</w:t>
            </w:r>
            <w:r>
              <w:rPr>
                <w:rFonts w:hint="eastAsia" w:ascii="宋体" w:hAnsi="宋体"/>
                <w:szCs w:val="21"/>
              </w:rPr>
              <w:t>万元；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trPr>
        <w:tc>
          <w:tcPr>
            <w:tcW w:w="1099" w:type="dxa"/>
            <w:vAlign w:val="center"/>
          </w:tcPr>
          <w:p>
            <w:pPr>
              <w:widowControl w:val="0"/>
              <w:spacing w:line="360" w:lineRule="exact"/>
              <w:jc w:val="center"/>
              <w:rPr>
                <w:rFonts w:ascii="宋体" w:hAnsi="宋体" w:cs="宋体"/>
                <w:szCs w:val="21"/>
              </w:rPr>
            </w:pPr>
            <w:r>
              <w:rPr>
                <w:rFonts w:hint="eastAsia" w:ascii="宋体" w:hAnsi="宋体" w:cs="宋体"/>
                <w:szCs w:val="21"/>
              </w:rPr>
              <w:t>3.2.5</w:t>
            </w:r>
          </w:p>
        </w:tc>
        <w:tc>
          <w:tcPr>
            <w:tcW w:w="3136" w:type="dxa"/>
            <w:vAlign w:val="center"/>
          </w:tcPr>
          <w:p>
            <w:pPr>
              <w:widowControl w:val="0"/>
              <w:spacing w:line="360" w:lineRule="exact"/>
              <w:jc w:val="center"/>
              <w:rPr>
                <w:rFonts w:ascii="宋体" w:hAnsi="宋体" w:cs="宋体"/>
                <w:szCs w:val="21"/>
              </w:rPr>
            </w:pPr>
            <w:r>
              <w:rPr>
                <w:rFonts w:hint="eastAsia" w:ascii="宋体" w:hAnsi="宋体" w:cs="宋体"/>
                <w:szCs w:val="21"/>
              </w:rPr>
              <w:t>投标报价的其他要求</w:t>
            </w:r>
          </w:p>
        </w:tc>
        <w:tc>
          <w:tcPr>
            <w:tcW w:w="6114" w:type="dxa"/>
            <w:vAlign w:val="center"/>
          </w:tcPr>
          <w:p>
            <w:pPr>
              <w:widowControl w:val="0"/>
              <w:snapToGrid w:val="0"/>
              <w:spacing w:line="360" w:lineRule="exact"/>
              <w:rPr>
                <w:sz w:val="32"/>
              </w:rPr>
            </w:pPr>
            <w:r>
              <w:rPr>
                <w:rFonts w:hint="eastAsia" w:ascii="宋体" w:hAnsi="宋体"/>
              </w:rPr>
              <w:t>本项目只允许有唯一报价，且不超过最高投标限价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trPr>
        <w:tc>
          <w:tcPr>
            <w:tcW w:w="1099" w:type="dxa"/>
            <w:vAlign w:val="center"/>
          </w:tcPr>
          <w:p>
            <w:pPr>
              <w:widowControl w:val="0"/>
              <w:spacing w:line="360" w:lineRule="exact"/>
              <w:jc w:val="center"/>
              <w:rPr>
                <w:rFonts w:ascii="宋体" w:hAnsi="宋体" w:cs="宋体"/>
                <w:szCs w:val="21"/>
              </w:rPr>
            </w:pPr>
            <w:r>
              <w:rPr>
                <w:rFonts w:hint="eastAsia" w:ascii="宋体" w:hAnsi="宋体" w:cs="宋体"/>
                <w:szCs w:val="21"/>
              </w:rPr>
              <w:t>3.3.1</w:t>
            </w:r>
          </w:p>
        </w:tc>
        <w:tc>
          <w:tcPr>
            <w:tcW w:w="3136" w:type="dxa"/>
            <w:vAlign w:val="center"/>
          </w:tcPr>
          <w:p>
            <w:pPr>
              <w:widowControl w:val="0"/>
              <w:spacing w:line="360" w:lineRule="exact"/>
              <w:jc w:val="center"/>
              <w:rPr>
                <w:rFonts w:ascii="宋体" w:hAnsi="宋体" w:cs="宋体"/>
                <w:szCs w:val="21"/>
              </w:rPr>
            </w:pPr>
            <w:r>
              <w:rPr>
                <w:rFonts w:hint="eastAsia" w:ascii="宋体" w:hAnsi="宋体" w:cs="宋体"/>
                <w:szCs w:val="21"/>
              </w:rPr>
              <w:t>投标有效期</w:t>
            </w:r>
          </w:p>
        </w:tc>
        <w:tc>
          <w:tcPr>
            <w:tcW w:w="6114" w:type="dxa"/>
          </w:tcPr>
          <w:p>
            <w:pPr>
              <w:widowControl w:val="0"/>
              <w:spacing w:line="360" w:lineRule="exact"/>
              <w:jc w:val="left"/>
              <w:rPr>
                <w:rFonts w:eastAsia="Times New Roman"/>
                <w:sz w:val="32"/>
              </w:rPr>
            </w:pPr>
            <w:r>
              <w:rPr>
                <w:rFonts w:hint="eastAsia" w:ascii="宋体" w:hAnsi="宋体" w:cs="宋体"/>
                <w:szCs w:val="21"/>
              </w:rPr>
              <w:t>90天</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99" w:type="dxa"/>
            <w:vAlign w:val="center"/>
          </w:tcPr>
          <w:p>
            <w:pPr>
              <w:widowControl w:val="0"/>
              <w:jc w:val="center"/>
              <w:rPr>
                <w:rFonts w:ascii="宋体" w:hAnsi="宋体" w:cs="宋体"/>
                <w:szCs w:val="21"/>
              </w:rPr>
            </w:pPr>
            <w:r>
              <w:rPr>
                <w:rFonts w:hint="eastAsia" w:ascii="宋体" w:hAnsi="宋体" w:cs="宋体"/>
                <w:szCs w:val="21"/>
              </w:rPr>
              <w:t>3.4.1</w:t>
            </w:r>
          </w:p>
        </w:tc>
        <w:tc>
          <w:tcPr>
            <w:tcW w:w="3136" w:type="dxa"/>
            <w:vAlign w:val="center"/>
          </w:tcPr>
          <w:p>
            <w:pPr>
              <w:widowControl w:val="0"/>
              <w:jc w:val="center"/>
              <w:rPr>
                <w:rFonts w:ascii="宋体" w:hAnsi="宋体" w:cs="宋体"/>
                <w:szCs w:val="21"/>
              </w:rPr>
            </w:pPr>
            <w:r>
              <w:rPr>
                <w:rFonts w:hint="eastAsia" w:ascii="宋体" w:hAnsi="宋体" w:cs="宋体"/>
                <w:szCs w:val="21"/>
              </w:rPr>
              <w:t>投标保证金</w:t>
            </w:r>
          </w:p>
        </w:tc>
        <w:tc>
          <w:tcPr>
            <w:tcW w:w="6114" w:type="dxa"/>
            <w:vAlign w:val="center"/>
          </w:tcPr>
          <w:p>
            <w:pPr>
              <w:spacing w:line="340" w:lineRule="exact"/>
              <w:rPr>
                <w:rFonts w:ascii="宋体" w:hAnsi="宋体"/>
                <w:szCs w:val="21"/>
              </w:rPr>
            </w:pPr>
            <w:r>
              <w:rPr>
                <w:rFonts w:hint="eastAsia" w:ascii="宋体" w:hAnsi="宋体"/>
                <w:szCs w:val="21"/>
              </w:rPr>
              <w:t>投标保证金的形式：现金（银行转帐、电汇，下同）或银行保函（提供担保保函的银行，经营范围中应具有“提供信用证服务及担保”业务）或担保公司保函（提供担保的担保公司应具有工信部门核发的《中华人民共和国融资性担保机构经营许可证》）且经吉林省住房城乡建设厅认定的专业工程担保机构）。</w:t>
            </w:r>
          </w:p>
          <w:p>
            <w:pPr>
              <w:spacing w:line="340" w:lineRule="exact"/>
              <w:rPr>
                <w:rFonts w:ascii="宋体" w:hAnsi="宋体"/>
                <w:szCs w:val="21"/>
                <w:highlight w:val="green"/>
              </w:rPr>
            </w:pPr>
            <w:r>
              <w:rPr>
                <w:rFonts w:hint="eastAsia" w:ascii="宋体" w:hAnsi="宋体"/>
                <w:szCs w:val="21"/>
              </w:rPr>
              <w:t>投标保证金的金额：人民币</w:t>
            </w:r>
            <w:r>
              <w:rPr>
                <w:rFonts w:hint="eastAsia" w:ascii="宋体" w:hAnsi="宋体"/>
                <w:b/>
                <w:szCs w:val="21"/>
              </w:rPr>
              <w:t>贰万伍</w:t>
            </w:r>
            <w:r>
              <w:rPr>
                <w:rFonts w:ascii="宋体" w:hAnsi="宋体"/>
                <w:b/>
                <w:szCs w:val="21"/>
              </w:rPr>
              <w:t>仟</w:t>
            </w:r>
            <w:r>
              <w:rPr>
                <w:rFonts w:hint="eastAsia" w:ascii="宋体" w:hAnsi="宋体"/>
                <w:b/>
                <w:szCs w:val="21"/>
              </w:rPr>
              <w:t>元</w:t>
            </w:r>
          </w:p>
          <w:p>
            <w:pPr>
              <w:spacing w:line="340" w:lineRule="exact"/>
              <w:rPr>
                <w:rFonts w:ascii="宋体" w:hAnsi="宋体"/>
                <w:szCs w:val="21"/>
              </w:rPr>
            </w:pPr>
            <w:r>
              <w:rPr>
                <w:rFonts w:hint="eastAsia" w:ascii="宋体" w:hAnsi="宋体"/>
                <w:szCs w:val="21"/>
              </w:rPr>
              <w:t>收取投标保证金账号：8113601014200137704</w:t>
            </w:r>
          </w:p>
          <w:p>
            <w:pPr>
              <w:spacing w:line="340" w:lineRule="exact"/>
              <w:rPr>
                <w:rFonts w:ascii="宋体" w:hAnsi="宋体"/>
                <w:szCs w:val="21"/>
              </w:rPr>
            </w:pPr>
            <w:r>
              <w:rPr>
                <w:rFonts w:hint="eastAsia" w:ascii="宋体" w:hAnsi="宋体"/>
                <w:szCs w:val="21"/>
              </w:rPr>
              <w:t>转入单位名称：北京泛华国金工程咨询有限公司吉林分公司</w:t>
            </w:r>
          </w:p>
          <w:p>
            <w:pPr>
              <w:spacing w:line="340" w:lineRule="exact"/>
              <w:rPr>
                <w:rFonts w:ascii="宋体" w:hAnsi="宋体"/>
                <w:szCs w:val="21"/>
              </w:rPr>
            </w:pPr>
            <w:r>
              <w:rPr>
                <w:rFonts w:hint="eastAsia" w:ascii="宋体" w:hAnsi="宋体"/>
                <w:szCs w:val="21"/>
              </w:rPr>
              <w:t>开户行：中信银行长春幸福街支行</w:t>
            </w:r>
          </w:p>
          <w:p>
            <w:pPr>
              <w:spacing w:line="340" w:lineRule="exact"/>
              <w:rPr>
                <w:rFonts w:ascii="宋体" w:hAnsi="宋体"/>
                <w:szCs w:val="21"/>
              </w:rPr>
            </w:pPr>
            <w:r>
              <w:rPr>
                <w:rFonts w:hint="eastAsia" w:ascii="宋体" w:hAnsi="宋体"/>
                <w:szCs w:val="21"/>
              </w:rPr>
              <w:t>其他要求：</w:t>
            </w:r>
            <w:r>
              <w:rPr>
                <w:rFonts w:hint="eastAsia" w:ascii="宋体" w:hAnsi="宋体"/>
                <w:b/>
                <w:szCs w:val="21"/>
              </w:rPr>
              <w:t>投标保证金以现金方式递交的应在开标截止时间前从投标人的基本帐户转入到招标文件指定的账户，并注明投标项目名称。</w:t>
            </w:r>
            <w:r>
              <w:rPr>
                <w:rFonts w:hint="eastAsia" w:ascii="宋体" w:hAnsi="宋体"/>
                <w:szCs w:val="21"/>
              </w:rPr>
              <w:t>以保函方式递交的投标保证金应在开标截止时间前将保函原件递交给招标代理机构。</w:t>
            </w:r>
          </w:p>
          <w:p>
            <w:pPr>
              <w:spacing w:line="340" w:lineRule="exact"/>
              <w:rPr>
                <w:rFonts w:ascii="宋体" w:hAnsi="宋体"/>
              </w:rPr>
            </w:pPr>
            <w:r>
              <w:rPr>
                <w:rFonts w:hint="eastAsia" w:ascii="宋体" w:hAnsi="宋体"/>
                <w:szCs w:val="21"/>
              </w:rPr>
              <w:t>以现金方式提交投标保证金未按规定时限足额转入、非投标人基本账户汇出的，保证金无效；以保函方式提交的投标保证金未按招标文件规定的时限和交纳方式，保函无效。违反上述要求的其投标文件按无效标处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1099" w:type="dxa"/>
            <w:vAlign w:val="center"/>
          </w:tcPr>
          <w:p>
            <w:pPr>
              <w:widowControl w:val="0"/>
              <w:jc w:val="center"/>
              <w:rPr>
                <w:rFonts w:ascii="宋体" w:hAnsi="宋体" w:cs="宋体"/>
                <w:szCs w:val="21"/>
              </w:rPr>
            </w:pPr>
            <w:r>
              <w:rPr>
                <w:rFonts w:hint="eastAsia" w:ascii="宋体" w:hAnsi="宋体" w:cs="宋体"/>
                <w:szCs w:val="21"/>
              </w:rPr>
              <w:t>3.5.2</w:t>
            </w:r>
          </w:p>
        </w:tc>
        <w:tc>
          <w:tcPr>
            <w:tcW w:w="3136" w:type="dxa"/>
            <w:vAlign w:val="center"/>
          </w:tcPr>
          <w:p>
            <w:pPr>
              <w:widowControl w:val="0"/>
              <w:jc w:val="center"/>
              <w:rPr>
                <w:rFonts w:ascii="宋体" w:hAnsi="宋体" w:cs="宋体"/>
                <w:szCs w:val="21"/>
              </w:rPr>
            </w:pPr>
            <w:r>
              <w:rPr>
                <w:rFonts w:hint="eastAsia" w:ascii="宋体" w:hAnsi="宋体" w:cs="宋体"/>
                <w:szCs w:val="21"/>
              </w:rPr>
              <w:t>近年财务状况的年份要求</w:t>
            </w:r>
          </w:p>
        </w:tc>
        <w:tc>
          <w:tcPr>
            <w:tcW w:w="6114" w:type="dxa"/>
            <w:vAlign w:val="center"/>
          </w:tcPr>
          <w:p>
            <w:pPr>
              <w:widowControl w:val="0"/>
              <w:spacing w:line="360" w:lineRule="exact"/>
              <w:rPr>
                <w:rFonts w:eastAsia="Times New Roman"/>
                <w:sz w:val="32"/>
              </w:rPr>
            </w:pPr>
            <w:r>
              <w:rPr>
                <w:rFonts w:hint="eastAsia" w:ascii="宋体" w:hAnsi="宋体"/>
              </w:rPr>
              <w:t>2016</w:t>
            </w:r>
            <w:r>
              <w:rPr>
                <w:rFonts w:ascii="宋体" w:hAnsi="宋体"/>
              </w:rPr>
              <w:t>年</w:t>
            </w:r>
            <w:r>
              <w:rPr>
                <w:rFonts w:hint="eastAsia" w:ascii="宋体" w:hAnsi="宋体"/>
              </w:rPr>
              <w:t>、2017年、2018</w:t>
            </w:r>
            <w:r>
              <w:rPr>
                <w:rFonts w:ascii="宋体" w:hAnsi="宋体"/>
              </w:rPr>
              <w:t>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99" w:type="dxa"/>
            <w:vAlign w:val="center"/>
          </w:tcPr>
          <w:p>
            <w:pPr>
              <w:widowControl w:val="0"/>
              <w:jc w:val="center"/>
              <w:rPr>
                <w:rFonts w:ascii="宋体" w:hAnsi="宋体" w:cs="宋体"/>
                <w:szCs w:val="21"/>
              </w:rPr>
            </w:pPr>
            <w:r>
              <w:rPr>
                <w:rFonts w:hint="eastAsia" w:ascii="宋体" w:hAnsi="宋体" w:cs="宋体"/>
                <w:szCs w:val="21"/>
              </w:rPr>
              <w:t>3.5.3</w:t>
            </w:r>
          </w:p>
        </w:tc>
        <w:tc>
          <w:tcPr>
            <w:tcW w:w="3136" w:type="dxa"/>
            <w:vAlign w:val="center"/>
          </w:tcPr>
          <w:p>
            <w:pPr>
              <w:widowControl w:val="0"/>
              <w:jc w:val="center"/>
              <w:rPr>
                <w:rFonts w:ascii="宋体" w:hAnsi="宋体" w:cs="宋体"/>
                <w:szCs w:val="21"/>
              </w:rPr>
            </w:pPr>
            <w:r>
              <w:rPr>
                <w:rFonts w:hint="eastAsia" w:ascii="宋体" w:hAnsi="宋体" w:cs="宋体"/>
                <w:szCs w:val="21"/>
              </w:rPr>
              <w:t>近年完成的类似项目情况的时间要求</w:t>
            </w:r>
          </w:p>
        </w:tc>
        <w:tc>
          <w:tcPr>
            <w:tcW w:w="6114" w:type="dxa"/>
            <w:vAlign w:val="center"/>
          </w:tcPr>
          <w:p>
            <w:pPr>
              <w:widowControl w:val="0"/>
              <w:spacing w:line="360" w:lineRule="exact"/>
              <w:jc w:val="left"/>
              <w:rPr>
                <w:rFonts w:eastAsia="Times New Roman"/>
                <w:sz w:val="32"/>
              </w:rPr>
            </w:pPr>
            <w:r>
              <w:rPr>
                <w:rFonts w:hint="eastAsia" w:ascii="宋体" w:hAnsi="宋体"/>
              </w:rPr>
              <w:t>2016</w:t>
            </w:r>
            <w:r>
              <w:rPr>
                <w:rFonts w:ascii="宋体" w:hAnsi="宋体"/>
              </w:rPr>
              <w:t>年</w:t>
            </w:r>
            <w:r>
              <w:rPr>
                <w:rFonts w:hint="eastAsia" w:ascii="宋体" w:hAnsi="宋体"/>
              </w:rPr>
              <w:t>1</w:t>
            </w:r>
            <w:r>
              <w:rPr>
                <w:rFonts w:ascii="宋体" w:hAnsi="宋体"/>
              </w:rPr>
              <w:t>月</w:t>
            </w:r>
            <w:r>
              <w:rPr>
                <w:rFonts w:hint="eastAsia" w:ascii="宋体" w:hAnsi="宋体"/>
              </w:rPr>
              <w:t>1</w:t>
            </w:r>
            <w:r>
              <w:rPr>
                <w:rFonts w:ascii="宋体" w:hAnsi="宋体"/>
              </w:rPr>
              <w:t>日至</w:t>
            </w:r>
            <w:r>
              <w:rPr>
                <w:rFonts w:hint="eastAsia" w:ascii="宋体" w:hAnsi="宋体"/>
              </w:rPr>
              <w:t>2018</w:t>
            </w:r>
            <w:r>
              <w:rPr>
                <w:rFonts w:ascii="宋体" w:hAnsi="宋体"/>
              </w:rPr>
              <w:t>年</w:t>
            </w:r>
            <w:r>
              <w:rPr>
                <w:rFonts w:hint="eastAsia" w:ascii="宋体" w:hAnsi="宋体"/>
              </w:rPr>
              <w:t>12</w:t>
            </w:r>
            <w:r>
              <w:rPr>
                <w:rFonts w:ascii="宋体" w:hAnsi="宋体"/>
              </w:rPr>
              <w:t>月</w:t>
            </w:r>
            <w:r>
              <w:rPr>
                <w:rFonts w:hint="eastAsia" w:ascii="宋体" w:hAnsi="宋体"/>
              </w:rPr>
              <w:t>31</w:t>
            </w:r>
            <w:r>
              <w:rPr>
                <w:rFonts w:ascii="宋体" w:hAnsi="宋体"/>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99" w:type="dxa"/>
            <w:vAlign w:val="center"/>
          </w:tcPr>
          <w:p>
            <w:pPr>
              <w:widowControl w:val="0"/>
              <w:jc w:val="center"/>
              <w:rPr>
                <w:rFonts w:ascii="宋体" w:hAnsi="宋体" w:cs="宋体"/>
                <w:szCs w:val="21"/>
              </w:rPr>
            </w:pPr>
            <w:r>
              <w:rPr>
                <w:rFonts w:hint="eastAsia" w:ascii="宋体" w:hAnsi="宋体" w:cs="宋体"/>
                <w:szCs w:val="21"/>
              </w:rPr>
              <w:t>3.5.5</w:t>
            </w:r>
          </w:p>
        </w:tc>
        <w:tc>
          <w:tcPr>
            <w:tcW w:w="3136" w:type="dxa"/>
            <w:vAlign w:val="center"/>
          </w:tcPr>
          <w:p>
            <w:pPr>
              <w:widowControl w:val="0"/>
              <w:jc w:val="center"/>
              <w:rPr>
                <w:rFonts w:ascii="宋体" w:hAnsi="宋体" w:cs="宋体"/>
                <w:szCs w:val="21"/>
              </w:rPr>
            </w:pPr>
            <w:r>
              <w:rPr>
                <w:rFonts w:hint="eastAsia" w:ascii="宋体" w:hAnsi="宋体" w:cs="宋体"/>
                <w:szCs w:val="21"/>
              </w:rPr>
              <w:t>近年发生的诉讼及仲裁情况的时间要求</w:t>
            </w:r>
          </w:p>
        </w:tc>
        <w:tc>
          <w:tcPr>
            <w:tcW w:w="6114" w:type="dxa"/>
            <w:vAlign w:val="center"/>
          </w:tcPr>
          <w:p>
            <w:pPr>
              <w:widowControl w:val="0"/>
              <w:spacing w:line="360" w:lineRule="exact"/>
              <w:jc w:val="left"/>
              <w:rPr>
                <w:rFonts w:ascii="宋体" w:hAnsi="宋体"/>
              </w:rPr>
            </w:pPr>
            <w:r>
              <w:rPr>
                <w:rFonts w:hint="eastAsia" w:ascii="宋体" w:hAnsi="宋体"/>
              </w:rPr>
              <w:t>2016年1</w:t>
            </w:r>
            <w:r>
              <w:rPr>
                <w:rFonts w:ascii="宋体" w:hAnsi="宋体"/>
              </w:rPr>
              <w:t>月</w:t>
            </w:r>
            <w:r>
              <w:rPr>
                <w:rFonts w:hint="eastAsia" w:ascii="宋体" w:hAnsi="宋体"/>
              </w:rPr>
              <w:t>1</w:t>
            </w:r>
            <w:r>
              <w:rPr>
                <w:rFonts w:ascii="宋体" w:hAnsi="宋体"/>
              </w:rPr>
              <w:t>日至</w:t>
            </w:r>
            <w:r>
              <w:rPr>
                <w:rFonts w:hint="eastAsia" w:ascii="宋体" w:hAnsi="宋体"/>
              </w:rPr>
              <w:t>2018</w:t>
            </w:r>
            <w:r>
              <w:rPr>
                <w:rFonts w:ascii="宋体" w:hAnsi="宋体"/>
              </w:rPr>
              <w:t>年</w:t>
            </w:r>
            <w:r>
              <w:rPr>
                <w:rFonts w:hint="eastAsia" w:ascii="宋体" w:hAnsi="宋体"/>
              </w:rPr>
              <w:t>12</w:t>
            </w:r>
            <w:r>
              <w:rPr>
                <w:rFonts w:ascii="宋体" w:hAnsi="宋体"/>
              </w:rPr>
              <w:t>月</w:t>
            </w:r>
            <w:r>
              <w:rPr>
                <w:rFonts w:hint="eastAsia" w:ascii="宋体" w:hAnsi="宋体"/>
              </w:rPr>
              <w:t>31</w:t>
            </w:r>
            <w:r>
              <w:rPr>
                <w:rFonts w:ascii="宋体" w:hAnsi="宋体"/>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99" w:type="dxa"/>
            <w:vAlign w:val="center"/>
          </w:tcPr>
          <w:p>
            <w:pPr>
              <w:widowControl w:val="0"/>
              <w:jc w:val="center"/>
              <w:rPr>
                <w:rFonts w:ascii="宋体" w:hAnsi="宋体" w:cs="宋体"/>
                <w:szCs w:val="21"/>
              </w:rPr>
            </w:pPr>
            <w:r>
              <w:rPr>
                <w:rFonts w:hint="eastAsia" w:ascii="宋体" w:hAnsi="宋体" w:cs="宋体"/>
                <w:szCs w:val="21"/>
              </w:rPr>
              <w:t>3.6.1</w:t>
            </w:r>
          </w:p>
        </w:tc>
        <w:tc>
          <w:tcPr>
            <w:tcW w:w="3136" w:type="dxa"/>
            <w:vAlign w:val="center"/>
          </w:tcPr>
          <w:p>
            <w:pPr>
              <w:widowControl w:val="0"/>
              <w:jc w:val="center"/>
              <w:rPr>
                <w:rFonts w:ascii="宋体" w:hAnsi="宋体" w:cs="宋体"/>
                <w:szCs w:val="21"/>
              </w:rPr>
            </w:pPr>
            <w:r>
              <w:rPr>
                <w:rFonts w:hint="eastAsia" w:ascii="宋体" w:hAnsi="宋体" w:cs="宋体"/>
                <w:szCs w:val="21"/>
              </w:rPr>
              <w:t>是否允许递交备选投标方案</w:t>
            </w:r>
          </w:p>
        </w:tc>
        <w:tc>
          <w:tcPr>
            <w:tcW w:w="6114" w:type="dxa"/>
            <w:vAlign w:val="center"/>
          </w:tcPr>
          <w:p>
            <w:pPr>
              <w:widowControl w:val="0"/>
              <w:spacing w:line="360" w:lineRule="exact"/>
              <w:jc w:val="left"/>
              <w:rPr>
                <w:rFonts w:ascii="宋体" w:hAnsi="宋体"/>
              </w:rPr>
            </w:pPr>
            <w:r>
              <w:rPr>
                <w:rFonts w:hint="eastAsia" w:ascii="宋体" w:hAnsi="宋体"/>
                <w:b/>
                <w:sz w:val="24"/>
                <w:szCs w:val="24"/>
              </w:rPr>
              <w:sym w:font="Wingdings" w:char="F0FE"/>
            </w:r>
            <w:r>
              <w:rPr>
                <w:rFonts w:hint="eastAsia" w:ascii="宋体" w:hAnsi="宋体"/>
              </w:rPr>
              <w:t>不允许</w:t>
            </w:r>
          </w:p>
          <w:p>
            <w:pPr>
              <w:widowControl w:val="0"/>
              <w:spacing w:line="360" w:lineRule="exact"/>
              <w:jc w:val="left"/>
              <w:rPr>
                <w:rFonts w:ascii="宋体" w:hAnsi="宋体"/>
              </w:rPr>
            </w:pPr>
            <w:r>
              <w:rPr>
                <w:rFonts w:hint="eastAsia" w:ascii="宋体" w:hAnsi="宋体"/>
                <w:b/>
                <w:color w:val="000000"/>
                <w:szCs w:val="21"/>
              </w:rPr>
              <w:t>□</w:t>
            </w:r>
            <w:r>
              <w:rPr>
                <w:rFonts w:hint="eastAsia" w:ascii="宋体" w:hAnsi="宋体"/>
              </w:rPr>
              <w:t>允许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99" w:type="dxa"/>
            <w:vAlign w:val="center"/>
          </w:tcPr>
          <w:p>
            <w:pPr>
              <w:widowControl w:val="0"/>
              <w:jc w:val="center"/>
              <w:rPr>
                <w:rFonts w:ascii="宋体" w:hAnsi="宋体" w:cs="宋体"/>
                <w:szCs w:val="21"/>
              </w:rPr>
            </w:pPr>
            <w:r>
              <w:rPr>
                <w:rFonts w:hint="eastAsia" w:ascii="宋体" w:hAnsi="宋体" w:cs="宋体"/>
                <w:szCs w:val="21"/>
              </w:rPr>
              <w:t>3.7.3（2）</w:t>
            </w:r>
          </w:p>
        </w:tc>
        <w:tc>
          <w:tcPr>
            <w:tcW w:w="3136" w:type="dxa"/>
            <w:vAlign w:val="center"/>
          </w:tcPr>
          <w:p>
            <w:pPr>
              <w:widowControl w:val="0"/>
              <w:jc w:val="center"/>
              <w:rPr>
                <w:rFonts w:ascii="宋体" w:hAnsi="宋体" w:cs="宋体"/>
                <w:szCs w:val="21"/>
              </w:rPr>
            </w:pPr>
            <w:r>
              <w:rPr>
                <w:rFonts w:hint="eastAsia" w:ascii="宋体" w:hAnsi="宋体" w:cs="宋体"/>
                <w:szCs w:val="21"/>
              </w:rPr>
              <w:t>投标文件副本份数及其他要求</w:t>
            </w:r>
          </w:p>
        </w:tc>
        <w:tc>
          <w:tcPr>
            <w:tcW w:w="6114" w:type="dxa"/>
            <w:vAlign w:val="center"/>
          </w:tcPr>
          <w:p>
            <w:pPr>
              <w:widowControl w:val="0"/>
              <w:spacing w:line="360" w:lineRule="exact"/>
              <w:jc w:val="left"/>
              <w:rPr>
                <w:rFonts w:ascii="宋体" w:hAnsi="宋体"/>
              </w:rPr>
            </w:pPr>
            <w:r>
              <w:rPr>
                <w:rFonts w:hint="eastAsia" w:ascii="宋体" w:hAnsi="宋体"/>
              </w:rPr>
              <w:t>投标文件副本份数：</w:t>
            </w:r>
            <w:r>
              <w:rPr>
                <w:rFonts w:hint="eastAsia" w:ascii="宋体" w:hAnsi="宋体"/>
                <w:szCs w:val="21"/>
              </w:rPr>
              <w:t>正本1份，副本6份</w:t>
            </w:r>
          </w:p>
          <w:p>
            <w:pPr>
              <w:widowControl w:val="0"/>
              <w:spacing w:line="360" w:lineRule="exact"/>
              <w:jc w:val="left"/>
              <w:rPr>
                <w:rFonts w:ascii="宋体" w:hAnsi="宋体"/>
              </w:rPr>
            </w:pPr>
            <w:r>
              <w:rPr>
                <w:rFonts w:hint="eastAsia" w:ascii="宋体" w:hAnsi="宋体"/>
              </w:rPr>
              <w:t>是否要求提交电子版文件：需要，电子版1份</w:t>
            </w:r>
          </w:p>
          <w:p>
            <w:pPr>
              <w:widowControl w:val="0"/>
              <w:spacing w:line="360" w:lineRule="exact"/>
              <w:jc w:val="left"/>
              <w:rPr>
                <w:rFonts w:ascii="宋体" w:hAnsi="宋体"/>
              </w:rPr>
            </w:pPr>
            <w:r>
              <w:rPr>
                <w:rFonts w:hint="eastAsia" w:ascii="宋体" w:hAnsi="宋体"/>
              </w:rPr>
              <w:t>其他要求：</w:t>
            </w:r>
            <w:r>
              <w:rPr>
                <w:rFonts w:hint="eastAsia" w:ascii="宋体" w:hAnsi="宋体"/>
                <w:color w:val="000000"/>
                <w:szCs w:val="21"/>
              </w:rPr>
              <w:t>正本与副本应采用A4纸印刷（图表页除外），分别装订成册，编制目录和页码。均采用左侧胶装方式，并不得采用活页装订。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99" w:type="dxa"/>
            <w:vAlign w:val="center"/>
          </w:tcPr>
          <w:p>
            <w:pPr>
              <w:widowControl w:val="0"/>
              <w:jc w:val="center"/>
              <w:rPr>
                <w:rFonts w:ascii="宋体" w:hAnsi="宋体" w:cs="宋体"/>
                <w:szCs w:val="21"/>
              </w:rPr>
            </w:pPr>
            <w:r>
              <w:rPr>
                <w:rFonts w:hint="eastAsia" w:ascii="宋体" w:hAnsi="宋体" w:cs="宋体"/>
                <w:szCs w:val="21"/>
              </w:rPr>
              <w:t>3.7.3（3）</w:t>
            </w:r>
          </w:p>
        </w:tc>
        <w:tc>
          <w:tcPr>
            <w:tcW w:w="3136" w:type="dxa"/>
            <w:vAlign w:val="center"/>
          </w:tcPr>
          <w:p>
            <w:pPr>
              <w:widowControl w:val="0"/>
              <w:jc w:val="center"/>
              <w:rPr>
                <w:rFonts w:ascii="宋体" w:hAnsi="宋体" w:cs="宋体"/>
                <w:szCs w:val="21"/>
              </w:rPr>
            </w:pPr>
            <w:r>
              <w:rPr>
                <w:rFonts w:hint="eastAsia" w:ascii="宋体" w:hAnsi="宋体" w:cs="宋体"/>
                <w:szCs w:val="21"/>
              </w:rPr>
              <w:t>投标文件是否需分册装订</w:t>
            </w:r>
          </w:p>
        </w:tc>
        <w:tc>
          <w:tcPr>
            <w:tcW w:w="6114" w:type="dxa"/>
            <w:vAlign w:val="center"/>
          </w:tcPr>
          <w:p>
            <w:pPr>
              <w:widowControl w:val="0"/>
              <w:spacing w:line="360" w:lineRule="exact"/>
              <w:jc w:val="left"/>
              <w:rPr>
                <w:rFonts w:ascii="宋体" w:hAnsi="宋体"/>
              </w:rPr>
            </w:pPr>
            <w:r>
              <w:rPr>
                <w:rFonts w:hint="eastAsia" w:ascii="宋体" w:hAnsi="宋体"/>
                <w:b/>
                <w:sz w:val="24"/>
                <w:szCs w:val="24"/>
              </w:rPr>
              <w:sym w:font="Wingdings" w:char="F0FE"/>
            </w:r>
            <w:r>
              <w:rPr>
                <w:rFonts w:hint="eastAsia" w:ascii="宋体" w:hAnsi="宋体"/>
              </w:rPr>
              <w:t>不需要</w:t>
            </w:r>
          </w:p>
          <w:p>
            <w:pPr>
              <w:widowControl w:val="0"/>
              <w:spacing w:line="360" w:lineRule="exact"/>
              <w:jc w:val="left"/>
              <w:rPr>
                <w:rFonts w:ascii="宋体" w:hAnsi="宋体"/>
              </w:rPr>
            </w:pPr>
            <w:r>
              <w:rPr>
                <w:rFonts w:hint="eastAsia" w:ascii="宋体" w:hAnsi="宋体"/>
                <w:b/>
                <w:color w:val="000000"/>
                <w:szCs w:val="21"/>
              </w:rPr>
              <w:t>□</w:t>
            </w:r>
            <w:r>
              <w:rPr>
                <w:rFonts w:hint="eastAsia" w:ascii="宋体" w:hAnsi="宋体"/>
              </w:rPr>
              <w:t>需要，分册装订要求：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99" w:type="dxa"/>
            <w:vAlign w:val="center"/>
          </w:tcPr>
          <w:p>
            <w:pPr>
              <w:widowControl w:val="0"/>
              <w:jc w:val="center"/>
              <w:rPr>
                <w:rFonts w:ascii="宋体" w:hAnsi="宋体" w:cs="宋体"/>
                <w:szCs w:val="21"/>
              </w:rPr>
            </w:pPr>
            <w:r>
              <w:rPr>
                <w:rFonts w:hint="eastAsia" w:ascii="宋体" w:hAnsi="宋体" w:cs="宋体"/>
                <w:szCs w:val="21"/>
              </w:rPr>
              <w:t>4.1.2</w:t>
            </w:r>
          </w:p>
        </w:tc>
        <w:tc>
          <w:tcPr>
            <w:tcW w:w="3136" w:type="dxa"/>
            <w:vAlign w:val="center"/>
          </w:tcPr>
          <w:p>
            <w:pPr>
              <w:widowControl w:val="0"/>
              <w:jc w:val="center"/>
              <w:rPr>
                <w:rFonts w:ascii="宋体" w:hAnsi="宋体" w:cs="宋体"/>
                <w:szCs w:val="21"/>
              </w:rPr>
            </w:pPr>
            <w:r>
              <w:rPr>
                <w:rFonts w:hint="eastAsia" w:ascii="宋体" w:hAnsi="宋体" w:cs="宋体"/>
                <w:szCs w:val="21"/>
              </w:rPr>
              <w:t>封套上应载明的信息</w:t>
            </w:r>
          </w:p>
        </w:tc>
        <w:tc>
          <w:tcPr>
            <w:tcW w:w="6114" w:type="dxa"/>
            <w:vAlign w:val="center"/>
          </w:tcPr>
          <w:p>
            <w:pPr>
              <w:widowControl w:val="0"/>
              <w:spacing w:line="340" w:lineRule="exact"/>
              <w:jc w:val="left"/>
              <w:rPr>
                <w:rFonts w:ascii="宋体" w:hAnsi="宋体"/>
                <w:u w:val="single"/>
              </w:rPr>
            </w:pPr>
            <w:r>
              <w:rPr>
                <w:rFonts w:ascii="宋体" w:hAnsi="宋体"/>
              </w:rPr>
              <w:t>招标人名称：</w:t>
            </w:r>
          </w:p>
          <w:p>
            <w:pPr>
              <w:widowControl w:val="0"/>
              <w:spacing w:line="340" w:lineRule="exact"/>
              <w:jc w:val="left"/>
              <w:rPr>
                <w:rFonts w:ascii="宋体" w:hAnsi="宋体"/>
                <w:u w:val="single"/>
              </w:rPr>
            </w:pPr>
            <w:r>
              <w:rPr>
                <w:rFonts w:ascii="宋体" w:hAnsi="宋体"/>
              </w:rPr>
              <w:t>招标人地址：</w:t>
            </w:r>
            <w:r>
              <w:rPr>
                <w:rFonts w:ascii="宋体" w:hAnsi="宋体"/>
                <w:u w:val="single"/>
              </w:rPr>
              <w:tab/>
            </w:r>
            <w:r>
              <w:rPr>
                <w:rFonts w:ascii="宋体" w:hAnsi="宋体"/>
                <w:u w:val="single"/>
              </w:rPr>
              <w:tab/>
            </w:r>
            <w:r>
              <w:rPr>
                <w:rFonts w:ascii="宋体" w:hAnsi="宋体"/>
                <w:u w:val="single"/>
              </w:rPr>
              <w:tab/>
            </w:r>
            <w:r>
              <w:rPr>
                <w:rFonts w:ascii="宋体" w:hAnsi="宋体"/>
                <w:u w:val="single"/>
              </w:rPr>
              <w:tab/>
            </w:r>
          </w:p>
          <w:p>
            <w:pPr>
              <w:widowControl w:val="0"/>
              <w:spacing w:line="340" w:lineRule="exact"/>
              <w:jc w:val="left"/>
              <w:rPr>
                <w:rFonts w:ascii="宋体" w:hAnsi="宋体"/>
              </w:rPr>
            </w:pPr>
            <w:r>
              <w:rPr>
                <w:rFonts w:ascii="宋体" w:hAnsi="宋体"/>
                <w:u w:val="single"/>
              </w:rPr>
              <w:t>（项目名称）</w:t>
            </w:r>
            <w:r>
              <w:rPr>
                <w:rFonts w:ascii="宋体" w:hAnsi="宋体"/>
              </w:rPr>
              <w:t>投标文件</w:t>
            </w:r>
          </w:p>
          <w:p>
            <w:pPr>
              <w:widowControl w:val="0"/>
              <w:spacing w:line="340" w:lineRule="exact"/>
              <w:jc w:val="left"/>
              <w:rPr>
                <w:rFonts w:ascii="宋体" w:hAnsi="宋体"/>
              </w:rPr>
            </w:pPr>
            <w:r>
              <w:rPr>
                <w:rFonts w:ascii="宋体" w:hAnsi="宋体"/>
              </w:rPr>
              <w:t>招标项目编号：</w:t>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p>
          <w:p>
            <w:pPr>
              <w:widowControl w:val="0"/>
              <w:spacing w:line="340" w:lineRule="exact"/>
              <w:jc w:val="left"/>
              <w:rPr>
                <w:rFonts w:eastAsia="Times New Roman"/>
                <w:sz w:val="32"/>
              </w:rPr>
            </w:pPr>
            <w:r>
              <w:rPr>
                <w:rFonts w:ascii="宋体" w:hAnsi="宋体"/>
              </w:rPr>
              <w:t>在</w:t>
            </w:r>
            <w:r>
              <w:rPr>
                <w:rFonts w:ascii="宋体" w:hAnsi="宋体"/>
              </w:rPr>
              <w:tab/>
            </w:r>
            <w:r>
              <w:rPr>
                <w:rFonts w:ascii="宋体" w:hAnsi="宋体"/>
              </w:rPr>
              <w:t>年</w:t>
            </w:r>
            <w:r>
              <w:rPr>
                <w:rFonts w:ascii="宋体" w:hAnsi="宋体"/>
              </w:rPr>
              <w:tab/>
            </w:r>
            <w:r>
              <w:rPr>
                <w:rFonts w:ascii="宋体" w:hAnsi="宋体"/>
              </w:rPr>
              <w:t>月</w:t>
            </w:r>
            <w:r>
              <w:rPr>
                <w:rFonts w:ascii="宋体" w:hAnsi="宋体"/>
              </w:rPr>
              <w:tab/>
            </w:r>
            <w:r>
              <w:rPr>
                <w:rFonts w:ascii="宋体" w:hAnsi="宋体"/>
              </w:rPr>
              <w:t>日</w:t>
            </w:r>
            <w:r>
              <w:rPr>
                <w:rFonts w:ascii="宋体" w:hAnsi="宋体"/>
              </w:rPr>
              <w:tab/>
            </w:r>
            <w:r>
              <w:rPr>
                <w:rFonts w:ascii="宋体" w:hAnsi="宋体"/>
              </w:rPr>
              <w:t>时前不得开启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trPr>
        <w:tc>
          <w:tcPr>
            <w:tcW w:w="1099" w:type="dxa"/>
            <w:vAlign w:val="center"/>
          </w:tcPr>
          <w:p>
            <w:pPr>
              <w:widowControl w:val="0"/>
              <w:jc w:val="center"/>
              <w:rPr>
                <w:rFonts w:ascii="宋体" w:hAnsi="宋体" w:cs="宋体"/>
                <w:szCs w:val="21"/>
              </w:rPr>
            </w:pPr>
            <w:r>
              <w:rPr>
                <w:rFonts w:hint="eastAsia" w:ascii="宋体" w:hAnsi="宋体" w:cs="宋体"/>
                <w:szCs w:val="21"/>
              </w:rPr>
              <w:t>4.2.1</w:t>
            </w:r>
          </w:p>
        </w:tc>
        <w:tc>
          <w:tcPr>
            <w:tcW w:w="3136" w:type="dxa"/>
            <w:vAlign w:val="center"/>
          </w:tcPr>
          <w:p>
            <w:pPr>
              <w:widowControl w:val="0"/>
              <w:jc w:val="center"/>
              <w:rPr>
                <w:rFonts w:ascii="宋体" w:hAnsi="宋体" w:cs="宋体"/>
                <w:szCs w:val="21"/>
              </w:rPr>
            </w:pPr>
            <w:r>
              <w:rPr>
                <w:rFonts w:hint="eastAsia" w:ascii="宋体" w:hAnsi="宋体" w:cs="宋体"/>
                <w:szCs w:val="21"/>
              </w:rPr>
              <w:t>投标截止时间</w:t>
            </w:r>
          </w:p>
        </w:tc>
        <w:tc>
          <w:tcPr>
            <w:tcW w:w="6114" w:type="dxa"/>
            <w:vAlign w:val="center"/>
          </w:tcPr>
          <w:p>
            <w:pPr>
              <w:widowControl w:val="0"/>
              <w:spacing w:line="360" w:lineRule="exact"/>
              <w:jc w:val="left"/>
              <w:rPr>
                <w:rFonts w:eastAsia="Times New Roman"/>
                <w:sz w:val="32"/>
              </w:rPr>
            </w:pPr>
            <w:r>
              <w:rPr>
                <w:rFonts w:hint="eastAsia" w:ascii="宋体" w:hAnsi="宋体"/>
                <w:bCs/>
                <w:color w:val="000000"/>
                <w:szCs w:val="21"/>
              </w:rPr>
              <w:t>2019年11月18日9时00分（北京时间）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1" w:hRule="exact"/>
        </w:trPr>
        <w:tc>
          <w:tcPr>
            <w:tcW w:w="1099" w:type="dxa"/>
            <w:vAlign w:val="center"/>
          </w:tcPr>
          <w:p>
            <w:pPr>
              <w:widowControl w:val="0"/>
              <w:jc w:val="center"/>
              <w:rPr>
                <w:rFonts w:ascii="宋体" w:hAnsi="宋体" w:cs="宋体"/>
                <w:szCs w:val="21"/>
              </w:rPr>
            </w:pPr>
            <w:r>
              <w:rPr>
                <w:rFonts w:hint="eastAsia" w:ascii="宋体" w:hAnsi="宋体" w:cs="宋体"/>
                <w:szCs w:val="21"/>
              </w:rPr>
              <w:t>4.2.2</w:t>
            </w:r>
          </w:p>
        </w:tc>
        <w:tc>
          <w:tcPr>
            <w:tcW w:w="3136" w:type="dxa"/>
            <w:vAlign w:val="center"/>
          </w:tcPr>
          <w:p>
            <w:pPr>
              <w:widowControl w:val="0"/>
              <w:jc w:val="center"/>
              <w:rPr>
                <w:rFonts w:ascii="宋体" w:hAnsi="宋体" w:cs="宋体"/>
                <w:szCs w:val="21"/>
              </w:rPr>
            </w:pPr>
            <w:r>
              <w:rPr>
                <w:rFonts w:hint="eastAsia" w:ascii="宋体" w:hAnsi="宋体" w:cs="宋体"/>
                <w:szCs w:val="21"/>
              </w:rPr>
              <w:t>递交投标文件地点</w:t>
            </w:r>
          </w:p>
        </w:tc>
        <w:tc>
          <w:tcPr>
            <w:tcW w:w="6114" w:type="dxa"/>
            <w:vAlign w:val="center"/>
          </w:tcPr>
          <w:p>
            <w:pPr>
              <w:widowControl w:val="0"/>
              <w:spacing w:line="360" w:lineRule="exact"/>
              <w:jc w:val="left"/>
              <w:rPr>
                <w:rFonts w:ascii="宋体" w:hAnsi="宋体"/>
                <w:szCs w:val="22"/>
              </w:rPr>
            </w:pPr>
            <w:r>
              <w:rPr>
                <w:rFonts w:hint="eastAsia" w:ascii="宋体" w:hAnsi="宋体"/>
                <w:szCs w:val="22"/>
              </w:rPr>
              <w:t>吉林省人民政府政务大厅四楼开标室（地址：长春市人民大街9999号）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99" w:type="dxa"/>
            <w:vAlign w:val="center"/>
          </w:tcPr>
          <w:p>
            <w:pPr>
              <w:widowControl w:val="0"/>
              <w:jc w:val="center"/>
              <w:rPr>
                <w:rFonts w:ascii="宋体" w:hAnsi="宋体" w:cs="宋体"/>
                <w:szCs w:val="21"/>
              </w:rPr>
            </w:pPr>
            <w:r>
              <w:rPr>
                <w:rFonts w:hint="eastAsia" w:ascii="宋体" w:hAnsi="宋体" w:cs="宋体"/>
                <w:szCs w:val="21"/>
              </w:rPr>
              <w:t>4.2.3</w:t>
            </w:r>
          </w:p>
        </w:tc>
        <w:tc>
          <w:tcPr>
            <w:tcW w:w="3136" w:type="dxa"/>
            <w:vAlign w:val="center"/>
          </w:tcPr>
          <w:p>
            <w:pPr>
              <w:widowControl w:val="0"/>
              <w:jc w:val="center"/>
              <w:rPr>
                <w:rFonts w:ascii="宋体" w:hAnsi="宋体" w:cs="宋体"/>
                <w:szCs w:val="21"/>
              </w:rPr>
            </w:pPr>
            <w:r>
              <w:rPr>
                <w:rFonts w:hint="eastAsia" w:ascii="宋体" w:hAnsi="宋体" w:cs="宋体"/>
                <w:szCs w:val="21"/>
              </w:rPr>
              <w:t>投标文件是否退还</w:t>
            </w:r>
          </w:p>
        </w:tc>
        <w:tc>
          <w:tcPr>
            <w:tcW w:w="6114" w:type="dxa"/>
            <w:vAlign w:val="center"/>
          </w:tcPr>
          <w:p>
            <w:pPr>
              <w:widowControl w:val="0"/>
              <w:spacing w:line="360" w:lineRule="exact"/>
              <w:jc w:val="left"/>
              <w:rPr>
                <w:rFonts w:ascii="宋体" w:hAnsi="宋体"/>
              </w:rPr>
            </w:pPr>
            <w:r>
              <w:rPr>
                <w:rFonts w:hint="eastAsia" w:ascii="宋体" w:hAnsi="宋体"/>
                <w:b/>
                <w:sz w:val="24"/>
                <w:szCs w:val="24"/>
              </w:rPr>
              <w:sym w:font="Wingdings" w:char="F0FE"/>
            </w:r>
            <w:r>
              <w:rPr>
                <w:rFonts w:ascii="宋体" w:hAnsi="宋体"/>
              </w:rPr>
              <w:t>否</w:t>
            </w:r>
          </w:p>
          <w:p>
            <w:pPr>
              <w:widowControl w:val="0"/>
              <w:spacing w:line="360" w:lineRule="exact"/>
              <w:jc w:val="left"/>
              <w:rPr>
                <w:rFonts w:ascii="宋体" w:hAnsi="宋体"/>
              </w:rPr>
            </w:pPr>
            <w:r>
              <w:rPr>
                <w:rFonts w:hint="eastAsia" w:ascii="宋体" w:hAnsi="宋体"/>
                <w:b/>
                <w:color w:val="000000"/>
                <w:szCs w:val="21"/>
              </w:rPr>
              <w:t>□</w:t>
            </w:r>
            <w:r>
              <w:rPr>
                <w:rFonts w:ascii="宋体" w:hAnsi="宋体"/>
              </w:rPr>
              <w:t>是，退还时间：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99" w:type="dxa"/>
            <w:vAlign w:val="center"/>
          </w:tcPr>
          <w:p>
            <w:pPr>
              <w:widowControl w:val="0"/>
              <w:jc w:val="center"/>
              <w:rPr>
                <w:rFonts w:ascii="宋体" w:hAnsi="宋体" w:cs="宋体"/>
                <w:szCs w:val="21"/>
              </w:rPr>
            </w:pPr>
            <w:r>
              <w:rPr>
                <w:rFonts w:hint="eastAsia" w:ascii="宋体" w:hAnsi="宋体" w:cs="宋体"/>
                <w:szCs w:val="21"/>
              </w:rPr>
              <w:t>5.1</w:t>
            </w:r>
          </w:p>
        </w:tc>
        <w:tc>
          <w:tcPr>
            <w:tcW w:w="3136" w:type="dxa"/>
            <w:vAlign w:val="center"/>
          </w:tcPr>
          <w:p>
            <w:pPr>
              <w:widowControl w:val="0"/>
              <w:jc w:val="center"/>
              <w:rPr>
                <w:rFonts w:ascii="宋体" w:hAnsi="宋体" w:cs="宋体"/>
                <w:szCs w:val="21"/>
              </w:rPr>
            </w:pPr>
            <w:r>
              <w:rPr>
                <w:rFonts w:hint="eastAsia" w:ascii="宋体" w:hAnsi="宋体" w:cs="宋体"/>
                <w:szCs w:val="21"/>
              </w:rPr>
              <w:t>开标时间和地点</w:t>
            </w:r>
          </w:p>
        </w:tc>
        <w:tc>
          <w:tcPr>
            <w:tcW w:w="6114" w:type="dxa"/>
            <w:vAlign w:val="center"/>
          </w:tcPr>
          <w:p>
            <w:pPr>
              <w:widowControl w:val="0"/>
              <w:spacing w:line="360" w:lineRule="exact"/>
              <w:jc w:val="left"/>
              <w:rPr>
                <w:rFonts w:ascii="宋体" w:hAnsi="宋体"/>
              </w:rPr>
            </w:pPr>
            <w:r>
              <w:rPr>
                <w:rFonts w:ascii="宋体" w:hAnsi="宋体"/>
              </w:rPr>
              <w:t>开标时间：同投标截止时间</w:t>
            </w:r>
          </w:p>
          <w:p>
            <w:pPr>
              <w:widowControl w:val="0"/>
              <w:spacing w:line="360" w:lineRule="exact"/>
              <w:jc w:val="left"/>
              <w:rPr>
                <w:rFonts w:ascii="宋体" w:hAnsi="宋体"/>
              </w:rPr>
            </w:pPr>
            <w:r>
              <w:rPr>
                <w:rFonts w:ascii="宋体" w:hAnsi="宋体"/>
              </w:rPr>
              <w:t>开标地点：</w:t>
            </w:r>
            <w:r>
              <w:rPr>
                <w:rFonts w:hint="eastAsia" w:ascii="宋体" w:hAnsi="宋体"/>
                <w:szCs w:val="22"/>
              </w:rPr>
              <w:t>吉林省人民政府政务大厅四楼开标室（地址：长春市人民大街9999号）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099" w:type="dxa"/>
            <w:vAlign w:val="center"/>
          </w:tcPr>
          <w:p>
            <w:pPr>
              <w:widowControl w:val="0"/>
              <w:jc w:val="center"/>
              <w:rPr>
                <w:rFonts w:ascii="宋体" w:hAnsi="宋体" w:cs="宋体"/>
                <w:szCs w:val="21"/>
              </w:rPr>
            </w:pPr>
            <w:r>
              <w:rPr>
                <w:rFonts w:hint="eastAsia" w:ascii="宋体" w:hAnsi="宋体" w:cs="宋体"/>
                <w:szCs w:val="21"/>
              </w:rPr>
              <w:t>5.2（4）</w:t>
            </w:r>
          </w:p>
        </w:tc>
        <w:tc>
          <w:tcPr>
            <w:tcW w:w="3136" w:type="dxa"/>
            <w:vAlign w:val="center"/>
          </w:tcPr>
          <w:p>
            <w:pPr>
              <w:widowControl w:val="0"/>
              <w:jc w:val="center"/>
              <w:rPr>
                <w:rFonts w:ascii="宋体" w:hAnsi="宋体" w:cs="宋体"/>
                <w:szCs w:val="21"/>
              </w:rPr>
            </w:pPr>
            <w:r>
              <w:rPr>
                <w:rFonts w:hint="eastAsia" w:ascii="宋体" w:hAnsi="宋体" w:cs="宋体"/>
                <w:szCs w:val="21"/>
              </w:rPr>
              <w:t>开标程序</w:t>
            </w:r>
          </w:p>
        </w:tc>
        <w:tc>
          <w:tcPr>
            <w:tcW w:w="6114" w:type="dxa"/>
            <w:vAlign w:val="center"/>
          </w:tcPr>
          <w:p>
            <w:pPr>
              <w:widowControl w:val="0"/>
              <w:spacing w:line="360" w:lineRule="exact"/>
              <w:jc w:val="left"/>
              <w:rPr>
                <w:rFonts w:ascii="宋体" w:hAnsi="宋体"/>
              </w:rPr>
            </w:pPr>
            <w:r>
              <w:rPr>
                <w:rFonts w:hint="eastAsia" w:ascii="宋体" w:hAnsi="宋体"/>
              </w:rPr>
              <w:t>开标顺序：</w:t>
            </w:r>
            <w:r>
              <w:rPr>
                <w:rFonts w:hint="eastAsia" w:ascii="宋体" w:hAnsi="宋体"/>
                <w:szCs w:val="21"/>
              </w:rPr>
              <w:t>递交投标文件的先后顺序的</w:t>
            </w:r>
            <w:r>
              <w:rPr>
                <w:rFonts w:hint="eastAsia" w:ascii="宋体" w:hAnsi="宋体"/>
              </w:rPr>
              <w:t>正序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99" w:type="dxa"/>
            <w:vAlign w:val="center"/>
          </w:tcPr>
          <w:p>
            <w:pPr>
              <w:widowControl w:val="0"/>
              <w:jc w:val="center"/>
              <w:rPr>
                <w:rFonts w:ascii="宋体" w:hAnsi="宋体" w:cs="宋体"/>
                <w:szCs w:val="21"/>
              </w:rPr>
            </w:pPr>
            <w:r>
              <w:rPr>
                <w:rFonts w:hint="eastAsia" w:ascii="宋体" w:hAnsi="宋体" w:cs="宋体"/>
                <w:szCs w:val="21"/>
              </w:rPr>
              <w:t>6.1.1</w:t>
            </w:r>
          </w:p>
        </w:tc>
        <w:tc>
          <w:tcPr>
            <w:tcW w:w="3136" w:type="dxa"/>
            <w:vAlign w:val="center"/>
          </w:tcPr>
          <w:p>
            <w:pPr>
              <w:widowControl w:val="0"/>
              <w:jc w:val="center"/>
              <w:rPr>
                <w:rFonts w:ascii="宋体" w:hAnsi="宋体" w:cs="宋体"/>
                <w:szCs w:val="21"/>
              </w:rPr>
            </w:pPr>
            <w:r>
              <w:rPr>
                <w:rFonts w:hint="eastAsia" w:ascii="宋体" w:hAnsi="宋体" w:cs="宋体"/>
                <w:szCs w:val="21"/>
              </w:rPr>
              <w:t>评标委员会的组建</w:t>
            </w:r>
          </w:p>
        </w:tc>
        <w:tc>
          <w:tcPr>
            <w:tcW w:w="6114" w:type="dxa"/>
            <w:vAlign w:val="center"/>
          </w:tcPr>
          <w:p>
            <w:pPr>
              <w:widowControl w:val="0"/>
              <w:spacing w:line="360" w:lineRule="exact"/>
              <w:jc w:val="left"/>
              <w:rPr>
                <w:rFonts w:ascii="宋体" w:hAnsi="宋体"/>
              </w:rPr>
            </w:pPr>
            <w:r>
              <w:rPr>
                <w:rFonts w:ascii="宋体" w:hAnsi="宋体"/>
              </w:rPr>
              <w:t>评标委员会构成：</w:t>
            </w:r>
            <w:r>
              <w:rPr>
                <w:rFonts w:hint="eastAsia" w:ascii="宋体" w:hAnsi="宋体"/>
                <w:u w:val="single"/>
              </w:rPr>
              <w:t xml:space="preserve">7   </w:t>
            </w:r>
            <w:r>
              <w:rPr>
                <w:rFonts w:ascii="宋体" w:hAnsi="宋体"/>
              </w:rPr>
              <w:t>人</w:t>
            </w:r>
          </w:p>
          <w:p>
            <w:pPr>
              <w:widowControl w:val="0"/>
              <w:spacing w:line="360" w:lineRule="exact"/>
              <w:jc w:val="left"/>
              <w:rPr>
                <w:rFonts w:ascii="宋体" w:hAnsi="宋体"/>
              </w:rPr>
            </w:pPr>
            <w:r>
              <w:rPr>
                <w:rFonts w:ascii="宋体" w:hAnsi="宋体"/>
              </w:rPr>
              <w:t>其中招标人代表</w:t>
            </w:r>
            <w:r>
              <w:rPr>
                <w:rFonts w:hint="eastAsia" w:ascii="宋体" w:hAnsi="宋体"/>
                <w:u w:val="single"/>
              </w:rPr>
              <w:t>1</w:t>
            </w:r>
            <w:r>
              <w:rPr>
                <w:rFonts w:ascii="宋体" w:hAnsi="宋体"/>
              </w:rPr>
              <w:t>人，专家</w:t>
            </w:r>
            <w:r>
              <w:rPr>
                <w:rFonts w:hint="eastAsia" w:ascii="宋体" w:hAnsi="宋体"/>
                <w:u w:val="single"/>
              </w:rPr>
              <w:t>6</w:t>
            </w:r>
            <w:r>
              <w:rPr>
                <w:rFonts w:hint="eastAsia" w:ascii="宋体" w:hAnsi="宋体"/>
              </w:rPr>
              <w:t>人</w:t>
            </w:r>
          </w:p>
          <w:p>
            <w:pPr>
              <w:widowControl w:val="0"/>
              <w:spacing w:line="360" w:lineRule="exact"/>
              <w:jc w:val="left"/>
              <w:rPr>
                <w:rFonts w:ascii="宋体" w:hAnsi="宋体"/>
              </w:rPr>
            </w:pPr>
            <w:r>
              <w:rPr>
                <w:rFonts w:ascii="宋体" w:hAnsi="宋体"/>
              </w:rPr>
              <w:t>评标专家确定方式：</w:t>
            </w:r>
            <w:r>
              <w:rPr>
                <w:rFonts w:hint="eastAsia" w:ascii="宋体" w:hAnsi="宋体"/>
                <w:szCs w:val="21"/>
              </w:rPr>
              <w:t>评标专家从吉林省人民政府政务大厅评标专家库中随机抽取。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99" w:type="dxa"/>
            <w:vAlign w:val="center"/>
          </w:tcPr>
          <w:p>
            <w:pPr>
              <w:widowControl w:val="0"/>
              <w:jc w:val="center"/>
              <w:rPr>
                <w:rFonts w:ascii="宋体" w:hAnsi="宋体" w:cs="宋体"/>
                <w:szCs w:val="21"/>
              </w:rPr>
            </w:pPr>
            <w:r>
              <w:rPr>
                <w:rFonts w:hint="eastAsia" w:ascii="宋体" w:hAnsi="宋体" w:cs="宋体"/>
                <w:szCs w:val="21"/>
              </w:rPr>
              <w:t>6.3.2</w:t>
            </w:r>
          </w:p>
        </w:tc>
        <w:tc>
          <w:tcPr>
            <w:tcW w:w="3136" w:type="dxa"/>
            <w:vAlign w:val="center"/>
          </w:tcPr>
          <w:p>
            <w:pPr>
              <w:widowControl w:val="0"/>
              <w:jc w:val="center"/>
              <w:rPr>
                <w:rFonts w:ascii="宋体" w:hAnsi="宋体" w:cs="宋体"/>
                <w:szCs w:val="21"/>
              </w:rPr>
            </w:pPr>
            <w:r>
              <w:rPr>
                <w:rFonts w:hint="eastAsia" w:ascii="宋体" w:hAnsi="宋体" w:cs="宋体"/>
                <w:szCs w:val="21"/>
              </w:rPr>
              <w:t>评标委员会推荐中标候选人的人数</w:t>
            </w:r>
          </w:p>
        </w:tc>
        <w:tc>
          <w:tcPr>
            <w:tcW w:w="6114" w:type="dxa"/>
            <w:vAlign w:val="center"/>
          </w:tcPr>
          <w:p>
            <w:pPr>
              <w:widowControl w:val="0"/>
              <w:spacing w:line="360" w:lineRule="exact"/>
              <w:jc w:val="left"/>
              <w:rPr>
                <w:rFonts w:ascii="宋体" w:hAnsi="宋体"/>
              </w:rPr>
            </w:pPr>
            <w:r>
              <w:rPr>
                <w:rFonts w:hint="eastAsia" w:hAnsi="宋体"/>
                <w:szCs w:val="21"/>
              </w:rPr>
              <w:t>本项目推荐三名中标候选人。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99" w:type="dxa"/>
            <w:vAlign w:val="center"/>
          </w:tcPr>
          <w:p>
            <w:pPr>
              <w:widowControl w:val="0"/>
              <w:jc w:val="center"/>
              <w:rPr>
                <w:rFonts w:ascii="宋体" w:hAnsi="宋体" w:cs="宋体"/>
                <w:szCs w:val="21"/>
              </w:rPr>
            </w:pPr>
            <w:r>
              <w:rPr>
                <w:rFonts w:hint="eastAsia" w:ascii="宋体" w:hAnsi="宋体" w:cs="宋体"/>
                <w:szCs w:val="21"/>
              </w:rPr>
              <w:t>7.1</w:t>
            </w:r>
          </w:p>
        </w:tc>
        <w:tc>
          <w:tcPr>
            <w:tcW w:w="3136" w:type="dxa"/>
            <w:vAlign w:val="center"/>
          </w:tcPr>
          <w:p>
            <w:pPr>
              <w:widowControl w:val="0"/>
              <w:jc w:val="center"/>
              <w:rPr>
                <w:rFonts w:ascii="宋体" w:hAnsi="宋体" w:cs="宋体"/>
                <w:szCs w:val="21"/>
              </w:rPr>
            </w:pPr>
            <w:r>
              <w:rPr>
                <w:rFonts w:hint="eastAsia" w:ascii="宋体" w:hAnsi="宋体" w:cs="宋体"/>
                <w:szCs w:val="21"/>
              </w:rPr>
              <w:t>中标候选人公示媒介及期限</w:t>
            </w:r>
          </w:p>
        </w:tc>
        <w:tc>
          <w:tcPr>
            <w:tcW w:w="6114" w:type="dxa"/>
            <w:vAlign w:val="center"/>
          </w:tcPr>
          <w:p>
            <w:pPr>
              <w:widowControl w:val="0"/>
              <w:spacing w:line="360" w:lineRule="exact"/>
              <w:jc w:val="left"/>
              <w:rPr>
                <w:rFonts w:ascii="宋体" w:hAnsi="宋体"/>
              </w:rPr>
            </w:pPr>
            <w:r>
              <w:rPr>
                <w:rFonts w:ascii="宋体" w:hAnsi="宋体"/>
              </w:rPr>
              <w:t>公示媒介：</w:t>
            </w:r>
            <w:r>
              <w:rPr>
                <w:rFonts w:hint="eastAsia" w:ascii="宋体" w:hAnsi="宋体"/>
              </w:rPr>
              <w:t>《中国采购与招标网》、《吉林省公共资源交易中心网》、《中国招标投标公共服务平台》</w:t>
            </w:r>
          </w:p>
          <w:p>
            <w:pPr>
              <w:widowControl w:val="0"/>
              <w:spacing w:line="360" w:lineRule="exact"/>
              <w:jc w:val="left"/>
              <w:rPr>
                <w:rFonts w:ascii="宋体" w:hAnsi="宋体"/>
              </w:rPr>
            </w:pPr>
            <w:r>
              <w:rPr>
                <w:rFonts w:ascii="宋体" w:hAnsi="宋体"/>
              </w:rPr>
              <w:t>公示期限：</w:t>
            </w:r>
            <w:r>
              <w:rPr>
                <w:rFonts w:hint="eastAsia" w:ascii="宋体" w:hAnsi="宋体" w:cs="宋体"/>
                <w:szCs w:val="21"/>
              </w:rPr>
              <w:t>不少于 3 天</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99" w:type="dxa"/>
            <w:vAlign w:val="center"/>
          </w:tcPr>
          <w:p>
            <w:pPr>
              <w:widowControl w:val="0"/>
              <w:jc w:val="center"/>
              <w:rPr>
                <w:rFonts w:ascii="宋体" w:hAnsi="宋体" w:cs="宋体"/>
                <w:szCs w:val="21"/>
              </w:rPr>
            </w:pPr>
            <w:r>
              <w:rPr>
                <w:rFonts w:hint="eastAsia" w:ascii="宋体" w:hAnsi="宋体" w:cs="宋体"/>
                <w:szCs w:val="21"/>
              </w:rPr>
              <w:t>7.4</w:t>
            </w:r>
          </w:p>
        </w:tc>
        <w:tc>
          <w:tcPr>
            <w:tcW w:w="3136" w:type="dxa"/>
            <w:vAlign w:val="center"/>
          </w:tcPr>
          <w:p>
            <w:pPr>
              <w:widowControl w:val="0"/>
              <w:jc w:val="center"/>
              <w:rPr>
                <w:rFonts w:ascii="宋体" w:hAnsi="宋体" w:cs="宋体"/>
                <w:szCs w:val="21"/>
              </w:rPr>
            </w:pPr>
            <w:r>
              <w:rPr>
                <w:rFonts w:hint="eastAsia" w:ascii="宋体" w:hAnsi="宋体" w:cs="宋体"/>
                <w:szCs w:val="21"/>
              </w:rPr>
              <w:t>是否授权评标委员会确定中标人</w:t>
            </w:r>
          </w:p>
        </w:tc>
        <w:tc>
          <w:tcPr>
            <w:tcW w:w="6114" w:type="dxa"/>
            <w:vAlign w:val="center"/>
          </w:tcPr>
          <w:p>
            <w:pPr>
              <w:widowControl w:val="0"/>
              <w:spacing w:line="360" w:lineRule="exact"/>
              <w:jc w:val="left"/>
              <w:rPr>
                <w:rFonts w:ascii="宋体" w:hAnsi="宋体"/>
              </w:rPr>
            </w:pPr>
            <w:r>
              <w:rPr>
                <w:rFonts w:hint="eastAsia" w:ascii="宋体" w:hAnsi="宋体"/>
                <w:b/>
                <w:color w:val="000000"/>
                <w:szCs w:val="21"/>
              </w:rPr>
              <w:t>□</w:t>
            </w:r>
            <w:r>
              <w:rPr>
                <w:rFonts w:hint="eastAsia" w:ascii="宋体" w:hAnsi="宋体"/>
              </w:rPr>
              <w:t>是</w:t>
            </w:r>
          </w:p>
          <w:p>
            <w:pPr>
              <w:widowControl w:val="0"/>
              <w:spacing w:line="360" w:lineRule="exact"/>
              <w:jc w:val="left"/>
              <w:rPr>
                <w:rFonts w:ascii="宋体" w:hAnsi="宋体"/>
              </w:rPr>
            </w:pPr>
            <w:r>
              <w:rPr>
                <w:rFonts w:hint="eastAsia" w:ascii="宋体" w:hAnsi="宋体"/>
                <w:b/>
                <w:sz w:val="24"/>
                <w:szCs w:val="24"/>
              </w:rPr>
              <w:sym w:font="Wingdings" w:char="F0FE"/>
            </w:r>
            <w:r>
              <w:rPr>
                <w:rFonts w:hint="eastAsia" w:ascii="宋体" w:hAnsi="宋体"/>
              </w:rPr>
              <w:t>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99" w:type="dxa"/>
            <w:vAlign w:val="center"/>
          </w:tcPr>
          <w:p>
            <w:pPr>
              <w:widowControl w:val="0"/>
              <w:jc w:val="center"/>
              <w:rPr>
                <w:rFonts w:ascii="宋体" w:hAnsi="宋体" w:cs="宋体"/>
                <w:szCs w:val="21"/>
              </w:rPr>
            </w:pPr>
            <w:r>
              <w:rPr>
                <w:rFonts w:hint="eastAsia" w:ascii="宋体" w:hAnsi="宋体" w:cs="宋体"/>
                <w:szCs w:val="21"/>
              </w:rPr>
              <w:t>7.6.1</w:t>
            </w:r>
          </w:p>
        </w:tc>
        <w:tc>
          <w:tcPr>
            <w:tcW w:w="3136" w:type="dxa"/>
            <w:vAlign w:val="center"/>
          </w:tcPr>
          <w:p>
            <w:pPr>
              <w:widowControl w:val="0"/>
              <w:jc w:val="center"/>
              <w:rPr>
                <w:rFonts w:ascii="宋体" w:hAnsi="宋体" w:cs="宋体"/>
                <w:szCs w:val="21"/>
              </w:rPr>
            </w:pPr>
            <w:r>
              <w:rPr>
                <w:rFonts w:hint="eastAsia" w:ascii="宋体" w:hAnsi="宋体" w:cs="宋体"/>
                <w:szCs w:val="21"/>
              </w:rPr>
              <w:t>履约保证金</w:t>
            </w:r>
          </w:p>
        </w:tc>
        <w:tc>
          <w:tcPr>
            <w:tcW w:w="6114" w:type="dxa"/>
            <w:vAlign w:val="center"/>
          </w:tcPr>
          <w:p>
            <w:pPr>
              <w:widowControl w:val="0"/>
              <w:spacing w:line="360" w:lineRule="exact"/>
              <w:jc w:val="left"/>
              <w:rPr>
                <w:rFonts w:ascii="宋体" w:hAnsi="宋体"/>
              </w:rPr>
            </w:pPr>
            <w:r>
              <w:rPr>
                <w:rFonts w:hint="eastAsia" w:ascii="宋体" w:hAnsi="宋体"/>
              </w:rPr>
              <w:t>是否要求中标人提交履约保证金：</w:t>
            </w:r>
          </w:p>
          <w:p>
            <w:pPr>
              <w:widowControl w:val="0"/>
              <w:spacing w:line="360" w:lineRule="exact"/>
              <w:jc w:val="left"/>
              <w:rPr>
                <w:rFonts w:ascii="宋体" w:hAnsi="宋体"/>
              </w:rPr>
            </w:pPr>
            <w:r>
              <w:rPr>
                <w:rFonts w:hint="eastAsia" w:ascii="宋体" w:hAnsi="宋体"/>
                <w:b/>
                <w:sz w:val="24"/>
                <w:szCs w:val="24"/>
              </w:rPr>
              <w:sym w:font="Wingdings" w:char="F0FE"/>
            </w:r>
            <w:r>
              <w:rPr>
                <w:rFonts w:hint="eastAsia" w:ascii="宋体" w:hAnsi="宋体"/>
              </w:rPr>
              <w:t>要求，履约保证金的形式：</w:t>
            </w:r>
            <w:r>
              <w:rPr>
                <w:rFonts w:hint="eastAsia" w:ascii="宋体" w:hAnsi="宋体" w:cs="宋体"/>
                <w:szCs w:val="21"/>
              </w:rPr>
              <w:t>现金、银行出具的现金支票、保兑支票、银行汇票、银行保函（提供担保保函的银行，经营范围中应具有“提供信用证服务及担保”业务）或担保公司保函（提供担保的担保公司应具有工信部门核发的《中华人民共和国融资性担保机构经营许可证》且经吉林省住房城乡建设厅认定的专业工程担保机构）。</w:t>
            </w:r>
          </w:p>
          <w:p>
            <w:pPr>
              <w:widowControl w:val="0"/>
              <w:spacing w:line="360" w:lineRule="exact"/>
              <w:jc w:val="left"/>
              <w:rPr>
                <w:rFonts w:ascii="宋体" w:hAnsi="宋体"/>
                <w:color w:val="FF0000"/>
                <w:szCs w:val="21"/>
              </w:rPr>
            </w:pPr>
            <w:r>
              <w:rPr>
                <w:rFonts w:hint="eastAsia" w:ascii="宋体" w:hAnsi="宋体"/>
              </w:rPr>
              <w:t>履约保证金的金额：</w:t>
            </w:r>
            <w:r>
              <w:rPr>
                <w:rFonts w:hint="eastAsia" w:ascii="宋体" w:hAnsi="宋体"/>
                <w:szCs w:val="21"/>
              </w:rPr>
              <w:t>合同签约价款的5%。</w:t>
            </w:r>
          </w:p>
          <w:p>
            <w:pPr>
              <w:widowControl w:val="0"/>
              <w:spacing w:line="360" w:lineRule="exact"/>
              <w:jc w:val="left"/>
              <w:rPr>
                <w:rFonts w:ascii="宋体" w:hAnsi="宋体"/>
              </w:rPr>
            </w:pPr>
            <w:r>
              <w:rPr>
                <w:rFonts w:ascii="宋体" w:hAnsi="宋体"/>
                <w:szCs w:val="21"/>
              </w:rPr>
              <w:t>履约担保的提交时间：</w:t>
            </w:r>
            <w:r>
              <w:rPr>
                <w:rFonts w:hint="eastAsia" w:ascii="宋体" w:hAnsi="宋体"/>
                <w:szCs w:val="21"/>
              </w:rPr>
              <w:t>中标人收到中标通知书之日起7日内提交履约担保；履约担保提交后持中标通知书与招标人签订合同</w:t>
            </w:r>
            <w:r>
              <w:rPr>
                <w:rFonts w:hint="eastAsia" w:ascii="宋体" w:hAnsi="宋体"/>
                <w:bCs/>
                <w:szCs w:val="21"/>
              </w:rPr>
              <w:t>。</w:t>
            </w:r>
          </w:p>
          <w:p>
            <w:pPr>
              <w:widowControl w:val="0"/>
              <w:spacing w:line="360" w:lineRule="exact"/>
              <w:jc w:val="left"/>
              <w:rPr>
                <w:rFonts w:ascii="宋体" w:hAnsi="宋体"/>
              </w:rPr>
            </w:pPr>
            <w:r>
              <w:rPr>
                <w:rFonts w:hint="eastAsia" w:ascii="宋体" w:hAnsi="宋体"/>
                <w:b/>
                <w:color w:val="000000"/>
                <w:szCs w:val="21"/>
              </w:rPr>
              <w:t>□</w:t>
            </w:r>
            <w:r>
              <w:rPr>
                <w:rFonts w:hint="eastAsia" w:ascii="宋体" w:hAnsi="宋体"/>
              </w:rPr>
              <w:t>不要求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99" w:type="dxa"/>
            <w:vAlign w:val="center"/>
          </w:tcPr>
          <w:p>
            <w:pPr>
              <w:widowControl w:val="0"/>
              <w:jc w:val="center"/>
              <w:rPr>
                <w:rFonts w:ascii="宋体" w:hAnsi="宋体" w:cs="宋体"/>
                <w:szCs w:val="21"/>
              </w:rPr>
            </w:pPr>
            <w:r>
              <w:rPr>
                <w:rFonts w:hint="eastAsia" w:ascii="宋体" w:hAnsi="宋体" w:cs="宋体"/>
                <w:szCs w:val="21"/>
              </w:rPr>
              <w:t>9</w:t>
            </w:r>
          </w:p>
        </w:tc>
        <w:tc>
          <w:tcPr>
            <w:tcW w:w="3136" w:type="dxa"/>
            <w:vAlign w:val="center"/>
          </w:tcPr>
          <w:p>
            <w:pPr>
              <w:widowControl w:val="0"/>
              <w:jc w:val="center"/>
              <w:rPr>
                <w:rFonts w:ascii="宋体" w:hAnsi="宋体" w:cs="宋体"/>
                <w:szCs w:val="21"/>
              </w:rPr>
            </w:pPr>
            <w:r>
              <w:rPr>
                <w:rFonts w:hint="eastAsia" w:ascii="宋体" w:hAnsi="宋体" w:cs="宋体"/>
                <w:szCs w:val="21"/>
              </w:rPr>
              <w:t>是否采用电子招标投标</w:t>
            </w:r>
          </w:p>
        </w:tc>
        <w:tc>
          <w:tcPr>
            <w:tcW w:w="6114" w:type="dxa"/>
            <w:vAlign w:val="center"/>
          </w:tcPr>
          <w:p>
            <w:pPr>
              <w:widowControl w:val="0"/>
              <w:spacing w:line="360" w:lineRule="exact"/>
              <w:jc w:val="left"/>
              <w:rPr>
                <w:rFonts w:ascii="宋体" w:hAnsi="宋体"/>
              </w:rPr>
            </w:pPr>
            <w:r>
              <w:rPr>
                <w:rFonts w:hint="eastAsia" w:ascii="宋体" w:hAnsi="宋体"/>
                <w:b/>
                <w:sz w:val="24"/>
                <w:szCs w:val="24"/>
              </w:rPr>
              <w:sym w:font="Wingdings" w:char="F0FE"/>
            </w:r>
            <w:r>
              <w:rPr>
                <w:rFonts w:ascii="宋体" w:hAnsi="宋体"/>
              </w:rPr>
              <w:t>否</w:t>
            </w:r>
          </w:p>
          <w:p>
            <w:pPr>
              <w:widowControl w:val="0"/>
              <w:spacing w:line="360" w:lineRule="exact"/>
              <w:jc w:val="left"/>
              <w:rPr>
                <w:rFonts w:eastAsia="Times New Roman"/>
                <w:sz w:val="32"/>
              </w:rPr>
            </w:pPr>
            <w:r>
              <w:rPr>
                <w:rFonts w:hint="eastAsia" w:ascii="宋体" w:hAnsi="宋体"/>
                <w:b/>
                <w:color w:val="000000"/>
                <w:szCs w:val="21"/>
              </w:rPr>
              <w:t>□</w:t>
            </w:r>
            <w:r>
              <w:rPr>
                <w:rFonts w:ascii="宋体" w:hAnsi="宋体"/>
              </w:rPr>
              <w:t>是，具体要求：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trPr>
        <w:tc>
          <w:tcPr>
            <w:tcW w:w="1099" w:type="dxa"/>
            <w:vAlign w:val="center"/>
          </w:tcPr>
          <w:p>
            <w:pPr>
              <w:widowControl w:val="0"/>
              <w:jc w:val="center"/>
              <w:rPr>
                <w:rFonts w:ascii="宋体" w:hAnsi="宋体" w:cs="宋体"/>
                <w:szCs w:val="21"/>
              </w:rPr>
            </w:pPr>
            <w:r>
              <w:rPr>
                <w:rFonts w:hint="eastAsia" w:ascii="宋体" w:hAnsi="宋体" w:cs="宋体"/>
                <w:szCs w:val="21"/>
              </w:rPr>
              <w:t>10</w:t>
            </w:r>
          </w:p>
        </w:tc>
        <w:tc>
          <w:tcPr>
            <w:tcW w:w="3136" w:type="dxa"/>
            <w:vAlign w:val="center"/>
          </w:tcPr>
          <w:p>
            <w:pPr>
              <w:widowControl w:val="0"/>
              <w:jc w:val="center"/>
              <w:rPr>
                <w:rFonts w:ascii="宋体" w:hAnsi="宋体"/>
                <w:w w:val="99"/>
              </w:rPr>
            </w:pPr>
            <w:r>
              <w:rPr>
                <w:rFonts w:hint="eastAsia" w:ascii="宋体" w:hAnsi="宋体"/>
              </w:rPr>
              <w:t>需要补充的其他内容</w:t>
            </w:r>
          </w:p>
        </w:tc>
        <w:tc>
          <w:tcPr>
            <w:tcW w:w="6114" w:type="dxa"/>
            <w:vAlign w:val="center"/>
          </w:tcPr>
          <w:p>
            <w:pPr>
              <w:widowControl w:val="0"/>
              <w:spacing w:line="360" w:lineRule="exact"/>
              <w:jc w:val="left"/>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37" w:hRule="atLeast"/>
        </w:trPr>
        <w:tc>
          <w:tcPr>
            <w:tcW w:w="1099" w:type="dxa"/>
            <w:vAlign w:val="center"/>
          </w:tcPr>
          <w:p>
            <w:pPr>
              <w:widowControl w:val="0"/>
              <w:jc w:val="center"/>
              <w:rPr>
                <w:rFonts w:ascii="宋体" w:hAnsi="宋体" w:cs="宋体"/>
                <w:szCs w:val="21"/>
              </w:rPr>
            </w:pPr>
            <w:r>
              <w:rPr>
                <w:rFonts w:hint="eastAsia" w:ascii="宋体" w:hAnsi="宋体" w:cs="宋体"/>
                <w:szCs w:val="21"/>
              </w:rPr>
              <w:t>10.1</w:t>
            </w:r>
          </w:p>
        </w:tc>
        <w:tc>
          <w:tcPr>
            <w:tcW w:w="3136" w:type="dxa"/>
            <w:vAlign w:val="center"/>
          </w:tcPr>
          <w:p>
            <w:pPr>
              <w:widowControl w:val="0"/>
              <w:jc w:val="center"/>
              <w:rPr>
                <w:rFonts w:ascii="宋体" w:hAnsi="宋体" w:cs="宋体"/>
                <w:szCs w:val="21"/>
              </w:rPr>
            </w:pPr>
            <w:r>
              <w:rPr>
                <w:rFonts w:hint="eastAsia" w:ascii="宋体" w:hAnsi="宋体" w:cs="宋体"/>
                <w:szCs w:val="21"/>
              </w:rPr>
              <w:t>招标</w:t>
            </w:r>
          </w:p>
          <w:p>
            <w:pPr>
              <w:widowControl w:val="0"/>
              <w:jc w:val="center"/>
              <w:rPr>
                <w:rFonts w:ascii="宋体" w:hAnsi="宋体" w:cs="宋体"/>
                <w:szCs w:val="21"/>
              </w:rPr>
            </w:pPr>
            <w:r>
              <w:rPr>
                <w:rFonts w:hint="eastAsia" w:ascii="宋体" w:hAnsi="宋体" w:cs="宋体"/>
                <w:szCs w:val="21"/>
              </w:rPr>
              <w:t>代理费</w:t>
            </w:r>
          </w:p>
        </w:tc>
        <w:tc>
          <w:tcPr>
            <w:tcW w:w="6114" w:type="dxa"/>
            <w:vAlign w:val="center"/>
          </w:tcPr>
          <w:p>
            <w:pPr>
              <w:jc w:val="left"/>
              <w:rPr>
                <w:rFonts w:ascii="宋体" w:hAnsi="宋体"/>
                <w:bCs/>
                <w:szCs w:val="21"/>
              </w:rPr>
            </w:pPr>
            <w:r>
              <w:rPr>
                <w:rFonts w:ascii="宋体" w:hAnsi="宋体" w:cs="宋体"/>
                <w:kern w:val="0"/>
                <w:szCs w:val="21"/>
              </w:rPr>
              <w:t>招标代理服务费由中标单位交纳,执行《国家发展改革委关于进一步放开建设项目专业服务价格的通知》（发改办价格[2015]299号）的规定，本项目的中标服务费按中标单位中标价格的</w:t>
            </w:r>
            <w:r>
              <w:rPr>
                <w:rFonts w:hint="eastAsia" w:ascii="宋体" w:hAnsi="宋体" w:cs="宋体"/>
                <w:kern w:val="0"/>
                <w:szCs w:val="21"/>
              </w:rPr>
              <w:t>1.5</w:t>
            </w:r>
            <w:r>
              <w:rPr>
                <w:rFonts w:ascii="宋体" w:hAnsi="宋体" w:cs="宋体"/>
                <w:kern w:val="0"/>
                <w:szCs w:val="21"/>
              </w:rPr>
              <w:t xml:space="preserve">%收取。 </w:t>
            </w:r>
          </w:p>
        </w:tc>
      </w:tr>
    </w:tbl>
    <w:p>
      <w:pPr>
        <w:pStyle w:val="5"/>
        <w:keepNext/>
        <w:keepLines/>
        <w:pageBreakBefore w:val="0"/>
        <w:widowControl/>
        <w:kinsoku/>
        <w:wordWrap/>
        <w:overflowPunct/>
        <w:topLinePunct w:val="0"/>
        <w:autoSpaceDE/>
        <w:autoSpaceDN/>
        <w:bidi w:val="0"/>
        <w:adjustRightInd/>
        <w:snapToGrid/>
        <w:spacing w:line="15" w:lineRule="auto"/>
        <w:textAlignment w:val="auto"/>
        <w:rPr>
          <w:rFonts w:ascii="宋体" w:hAnsi="宋体"/>
          <w:b w:val="0"/>
          <w:bCs w:val="0"/>
          <w:sz w:val="24"/>
          <w:szCs w:val="24"/>
        </w:rPr>
      </w:pPr>
      <w:r>
        <w:rPr>
          <w:sz w:val="24"/>
        </w:rPr>
        <w:br w:type="page"/>
      </w:r>
      <w:bookmarkStart w:id="5" w:name="page19"/>
      <w:bookmarkEnd w:id="5"/>
      <w:bookmarkStart w:id="6" w:name="_Toc31791876"/>
      <w:r>
        <w:rPr>
          <w:rFonts w:ascii="宋体" w:hAnsi="宋体"/>
          <w:sz w:val="24"/>
          <w:szCs w:val="24"/>
        </w:rPr>
        <w:t>1.总则</w:t>
      </w:r>
      <w:bookmarkEnd w:id="6"/>
    </w:p>
    <w:p>
      <w:pPr>
        <w:spacing w:line="360" w:lineRule="auto"/>
        <w:ind w:firstLine="411" w:firstLineChars="196"/>
        <w:rPr>
          <w:rFonts w:ascii="宋体" w:hAnsi="宋体" w:cs="宋体"/>
          <w:szCs w:val="21"/>
        </w:rPr>
      </w:pPr>
      <w:r>
        <w:rPr>
          <w:rFonts w:hint="eastAsia" w:ascii="宋体" w:hAnsi="宋体" w:cs="宋体"/>
          <w:szCs w:val="21"/>
        </w:rPr>
        <w:t>1.1 招标项目概况</w:t>
      </w:r>
    </w:p>
    <w:p>
      <w:pPr>
        <w:spacing w:line="360" w:lineRule="auto"/>
        <w:ind w:firstLine="411" w:firstLineChars="196"/>
        <w:rPr>
          <w:rFonts w:ascii="宋体" w:hAnsi="宋体" w:cs="宋体"/>
          <w:szCs w:val="21"/>
        </w:rPr>
      </w:pPr>
      <w:r>
        <w:rPr>
          <w:rFonts w:hint="eastAsia" w:ascii="宋体" w:hAnsi="宋体" w:cs="宋体"/>
          <w:szCs w:val="21"/>
        </w:rPr>
        <w:t>1.1.1 根据《中华人民共和国招标投标法》、《中华人民共和国招标投标法实施条例》等有关法律、法规和规章的规定，本招标项目已具备招标条件，现对设备采购进行招标。</w:t>
      </w:r>
    </w:p>
    <w:p>
      <w:pPr>
        <w:spacing w:line="360" w:lineRule="auto"/>
        <w:ind w:firstLine="411" w:firstLineChars="196"/>
        <w:rPr>
          <w:rFonts w:ascii="宋体" w:hAnsi="宋体" w:cs="宋体"/>
          <w:szCs w:val="21"/>
        </w:rPr>
      </w:pPr>
      <w:r>
        <w:rPr>
          <w:rFonts w:hint="eastAsia" w:ascii="宋体" w:hAnsi="宋体" w:cs="宋体"/>
          <w:szCs w:val="21"/>
        </w:rPr>
        <w:t>1.1.2 招标人：见投标人须知前附表。</w:t>
      </w:r>
    </w:p>
    <w:p>
      <w:pPr>
        <w:spacing w:line="360" w:lineRule="auto"/>
        <w:ind w:firstLine="411" w:firstLineChars="196"/>
        <w:rPr>
          <w:rFonts w:ascii="宋体" w:hAnsi="宋体" w:cs="宋体"/>
          <w:szCs w:val="21"/>
        </w:rPr>
      </w:pPr>
      <w:r>
        <w:rPr>
          <w:rFonts w:hint="eastAsia" w:ascii="宋体" w:hAnsi="宋体" w:cs="宋体"/>
          <w:szCs w:val="21"/>
        </w:rPr>
        <w:t>1.1.3 招标代理机构：见投标人须知前附表。</w:t>
      </w:r>
    </w:p>
    <w:p>
      <w:pPr>
        <w:spacing w:line="360" w:lineRule="auto"/>
        <w:ind w:firstLine="411" w:firstLineChars="196"/>
        <w:rPr>
          <w:rFonts w:ascii="宋体" w:hAnsi="宋体" w:cs="宋体"/>
          <w:szCs w:val="21"/>
        </w:rPr>
      </w:pPr>
      <w:r>
        <w:rPr>
          <w:rFonts w:hint="eastAsia" w:ascii="宋体" w:hAnsi="宋体" w:cs="宋体"/>
          <w:szCs w:val="21"/>
        </w:rPr>
        <w:t>1.1.4 招标项目名称：见投标人须知前附表。</w:t>
      </w:r>
    </w:p>
    <w:p>
      <w:pPr>
        <w:spacing w:line="360" w:lineRule="auto"/>
        <w:ind w:firstLine="411" w:firstLineChars="196"/>
        <w:rPr>
          <w:rFonts w:ascii="宋体" w:hAnsi="宋体" w:cs="宋体"/>
          <w:szCs w:val="21"/>
        </w:rPr>
      </w:pPr>
      <w:r>
        <w:rPr>
          <w:rFonts w:hint="eastAsia" w:ascii="宋体" w:hAnsi="宋体" w:cs="宋体"/>
          <w:szCs w:val="21"/>
        </w:rPr>
        <w:t>1.1.5 工程项目名称：即招标项目所属的工程建设项目，见投标人须知前附表。</w:t>
      </w:r>
    </w:p>
    <w:p>
      <w:pPr>
        <w:spacing w:line="360" w:lineRule="auto"/>
        <w:ind w:firstLine="411" w:firstLineChars="196"/>
        <w:rPr>
          <w:rFonts w:ascii="宋体" w:hAnsi="宋体" w:cs="宋体"/>
          <w:szCs w:val="21"/>
        </w:rPr>
      </w:pPr>
      <w:r>
        <w:rPr>
          <w:rFonts w:hint="eastAsia" w:ascii="宋体" w:hAnsi="宋体" w:cs="宋体"/>
          <w:szCs w:val="21"/>
        </w:rPr>
        <w:t>1.2 招标项目的资金来源和落实情况</w:t>
      </w:r>
    </w:p>
    <w:p>
      <w:pPr>
        <w:spacing w:line="360" w:lineRule="auto"/>
        <w:ind w:firstLine="411" w:firstLineChars="196"/>
        <w:rPr>
          <w:rFonts w:ascii="宋体" w:hAnsi="宋体" w:cs="宋体"/>
          <w:szCs w:val="21"/>
        </w:rPr>
      </w:pPr>
      <w:r>
        <w:rPr>
          <w:rFonts w:hint="eastAsia" w:ascii="宋体" w:hAnsi="宋体" w:cs="宋体"/>
          <w:szCs w:val="21"/>
        </w:rPr>
        <w:t>1.2.1 资金来源及比例：见投标人须知前附表。</w:t>
      </w:r>
    </w:p>
    <w:p>
      <w:pPr>
        <w:spacing w:line="360" w:lineRule="auto"/>
        <w:ind w:firstLine="411" w:firstLineChars="196"/>
        <w:rPr>
          <w:rFonts w:ascii="宋体" w:hAnsi="宋体" w:cs="宋体"/>
          <w:szCs w:val="21"/>
        </w:rPr>
      </w:pPr>
      <w:r>
        <w:rPr>
          <w:rFonts w:hint="eastAsia" w:ascii="宋体" w:hAnsi="宋体" w:cs="宋体"/>
          <w:szCs w:val="21"/>
        </w:rPr>
        <w:t>1.2.2 资金落实情况：见投标人须知前附表。</w:t>
      </w:r>
    </w:p>
    <w:p>
      <w:pPr>
        <w:spacing w:line="360" w:lineRule="auto"/>
        <w:ind w:firstLine="411" w:firstLineChars="196"/>
        <w:rPr>
          <w:rFonts w:ascii="宋体" w:hAnsi="宋体" w:cs="宋体"/>
          <w:szCs w:val="21"/>
        </w:rPr>
      </w:pPr>
      <w:r>
        <w:rPr>
          <w:rFonts w:hint="eastAsia" w:ascii="宋体" w:hAnsi="宋体" w:cs="宋体"/>
          <w:szCs w:val="21"/>
        </w:rPr>
        <w:t>1.3 招标范围、计划工期、项目地点和质量标准。</w:t>
      </w:r>
    </w:p>
    <w:p>
      <w:pPr>
        <w:spacing w:line="360" w:lineRule="auto"/>
        <w:ind w:firstLine="411" w:firstLineChars="196"/>
        <w:rPr>
          <w:rFonts w:ascii="宋体" w:hAnsi="宋体" w:cs="宋体"/>
          <w:szCs w:val="21"/>
        </w:rPr>
      </w:pPr>
      <w:r>
        <w:rPr>
          <w:rFonts w:hint="eastAsia" w:ascii="宋体" w:hAnsi="宋体" w:cs="宋体"/>
          <w:szCs w:val="21"/>
        </w:rPr>
        <w:t>1.3.1 招标范围：见投标人须知前附表。</w:t>
      </w:r>
    </w:p>
    <w:p>
      <w:pPr>
        <w:spacing w:line="360" w:lineRule="auto"/>
        <w:ind w:firstLine="411" w:firstLineChars="196"/>
        <w:rPr>
          <w:rFonts w:ascii="宋体" w:hAnsi="宋体" w:cs="宋体"/>
          <w:szCs w:val="21"/>
        </w:rPr>
      </w:pPr>
      <w:r>
        <w:rPr>
          <w:rFonts w:hint="eastAsia" w:ascii="宋体" w:hAnsi="宋体" w:cs="宋体"/>
          <w:szCs w:val="21"/>
        </w:rPr>
        <w:t>1.3.2 计划工期：见投标人须知前附表。</w:t>
      </w:r>
    </w:p>
    <w:p>
      <w:pPr>
        <w:spacing w:line="360" w:lineRule="auto"/>
        <w:ind w:firstLine="411" w:firstLineChars="196"/>
        <w:rPr>
          <w:rFonts w:ascii="宋体" w:hAnsi="宋体" w:cs="宋体"/>
          <w:szCs w:val="21"/>
        </w:rPr>
      </w:pPr>
      <w:r>
        <w:rPr>
          <w:rFonts w:hint="eastAsia" w:ascii="宋体" w:hAnsi="宋体" w:cs="宋体"/>
          <w:szCs w:val="21"/>
        </w:rPr>
        <w:t>1.3.3 项目地点：见投标人须知前附表。</w:t>
      </w:r>
    </w:p>
    <w:p>
      <w:pPr>
        <w:spacing w:line="360" w:lineRule="auto"/>
        <w:ind w:firstLine="411" w:firstLineChars="196"/>
        <w:rPr>
          <w:rFonts w:ascii="宋体" w:hAnsi="宋体" w:cs="宋体"/>
          <w:szCs w:val="21"/>
        </w:rPr>
      </w:pPr>
      <w:r>
        <w:rPr>
          <w:rFonts w:hint="eastAsia" w:ascii="宋体" w:hAnsi="宋体" w:cs="宋体"/>
          <w:szCs w:val="21"/>
        </w:rPr>
        <w:t>1.3.4质量标准：见投标人须知前附表。</w:t>
      </w:r>
    </w:p>
    <w:p>
      <w:pPr>
        <w:spacing w:line="360" w:lineRule="auto"/>
        <w:ind w:firstLine="411" w:firstLineChars="196"/>
        <w:rPr>
          <w:rFonts w:ascii="宋体" w:hAnsi="宋体" w:cs="宋体"/>
          <w:szCs w:val="21"/>
        </w:rPr>
      </w:pPr>
      <w:r>
        <w:rPr>
          <w:rFonts w:hint="eastAsia" w:ascii="宋体" w:hAnsi="宋体" w:cs="宋体"/>
          <w:szCs w:val="21"/>
        </w:rPr>
        <w:t>1.4 投标人资格要求</w:t>
      </w:r>
    </w:p>
    <w:p>
      <w:pPr>
        <w:spacing w:line="360" w:lineRule="auto"/>
        <w:ind w:firstLine="411" w:firstLineChars="196"/>
        <w:rPr>
          <w:rFonts w:ascii="宋体" w:hAnsi="宋体" w:cs="宋体"/>
          <w:szCs w:val="21"/>
        </w:rPr>
      </w:pPr>
      <w:r>
        <w:rPr>
          <w:rFonts w:hint="eastAsia" w:ascii="宋体" w:hAnsi="宋体" w:cs="宋体"/>
          <w:szCs w:val="21"/>
        </w:rPr>
        <w:t>1.4.1 投标人应具备承担本招标项目资质条件、能力和信誉：</w:t>
      </w:r>
    </w:p>
    <w:p>
      <w:pPr>
        <w:spacing w:line="360" w:lineRule="auto"/>
        <w:ind w:firstLine="411" w:firstLineChars="196"/>
        <w:rPr>
          <w:rFonts w:ascii="宋体" w:hAnsi="宋体" w:cs="宋体"/>
          <w:szCs w:val="21"/>
        </w:rPr>
      </w:pPr>
      <w:r>
        <w:rPr>
          <w:rFonts w:hint="eastAsia" w:ascii="宋体" w:hAnsi="宋体" w:cs="宋体"/>
          <w:szCs w:val="21"/>
        </w:rPr>
        <w:t>（1）资质要求：见投标人须知前附表；</w:t>
      </w:r>
    </w:p>
    <w:p>
      <w:pPr>
        <w:spacing w:line="360" w:lineRule="auto"/>
        <w:ind w:firstLine="411" w:firstLineChars="196"/>
        <w:rPr>
          <w:rFonts w:ascii="宋体" w:hAnsi="宋体" w:cs="宋体"/>
          <w:szCs w:val="21"/>
        </w:rPr>
      </w:pPr>
      <w:r>
        <w:rPr>
          <w:rFonts w:hint="eastAsia" w:ascii="宋体" w:hAnsi="宋体" w:cs="宋体"/>
          <w:szCs w:val="21"/>
        </w:rPr>
        <w:t>（2）财务要求：见投标人须知前附表；</w:t>
      </w:r>
    </w:p>
    <w:p>
      <w:pPr>
        <w:spacing w:line="360" w:lineRule="auto"/>
        <w:ind w:firstLine="411" w:firstLineChars="196"/>
        <w:rPr>
          <w:rFonts w:ascii="宋体" w:hAnsi="宋体" w:cs="宋体"/>
          <w:szCs w:val="21"/>
        </w:rPr>
      </w:pPr>
      <w:r>
        <w:rPr>
          <w:rFonts w:hint="eastAsia" w:ascii="宋体" w:hAnsi="宋体" w:cs="宋体"/>
          <w:szCs w:val="21"/>
        </w:rPr>
        <w:t>（3）业绩要求：见投标人须知前附表；</w:t>
      </w:r>
    </w:p>
    <w:p>
      <w:pPr>
        <w:spacing w:line="360" w:lineRule="auto"/>
        <w:ind w:firstLine="411" w:firstLineChars="196"/>
        <w:rPr>
          <w:rFonts w:ascii="宋体" w:hAnsi="宋体" w:cs="宋体"/>
          <w:szCs w:val="21"/>
        </w:rPr>
      </w:pPr>
      <w:r>
        <w:rPr>
          <w:rFonts w:hint="eastAsia" w:ascii="宋体" w:hAnsi="宋体" w:cs="宋体"/>
          <w:szCs w:val="21"/>
        </w:rPr>
        <w:t>（4）信誉要求：见投标人须知前附表；</w:t>
      </w:r>
    </w:p>
    <w:p>
      <w:pPr>
        <w:spacing w:line="360" w:lineRule="auto"/>
        <w:ind w:firstLine="411" w:firstLineChars="196"/>
        <w:rPr>
          <w:rFonts w:ascii="宋体" w:hAnsi="宋体" w:cs="宋体"/>
          <w:szCs w:val="21"/>
        </w:rPr>
      </w:pPr>
      <w:r>
        <w:rPr>
          <w:rFonts w:hint="eastAsia" w:ascii="宋体" w:hAnsi="宋体" w:cs="宋体"/>
          <w:szCs w:val="21"/>
        </w:rPr>
        <w:t xml:space="preserve">（5）其他要求：见投标人须知前附表。 </w:t>
      </w:r>
    </w:p>
    <w:p>
      <w:pPr>
        <w:spacing w:line="360" w:lineRule="auto"/>
        <w:ind w:firstLine="411" w:firstLineChars="196"/>
        <w:rPr>
          <w:rFonts w:ascii="宋体" w:hAnsi="宋体" w:cs="宋体"/>
          <w:szCs w:val="21"/>
        </w:rPr>
      </w:pPr>
      <w:r>
        <w:rPr>
          <w:rFonts w:hint="eastAsia" w:ascii="宋体" w:hAnsi="宋体" w:cs="宋体"/>
          <w:szCs w:val="21"/>
        </w:rPr>
        <w:t>对投标人的资质要求，对投标人的业绩要求包含对投标设备的业绩要求。需要提交的相关证明材料见本章第 3.5 款的规定。</w:t>
      </w:r>
    </w:p>
    <w:p>
      <w:pPr>
        <w:spacing w:line="360" w:lineRule="auto"/>
        <w:ind w:firstLine="411" w:firstLineChars="196"/>
        <w:rPr>
          <w:rFonts w:ascii="宋体" w:hAnsi="宋体" w:cs="宋体"/>
          <w:szCs w:val="21"/>
        </w:rPr>
      </w:pPr>
      <w:r>
        <w:rPr>
          <w:rFonts w:hint="eastAsia" w:ascii="宋体" w:hAnsi="宋体" w:cs="宋体"/>
          <w:szCs w:val="21"/>
        </w:rPr>
        <w:t>1.4.2 投标人须知前附表规定接受联合体投标的，联合体除应符合本章第1.4.1项和投标人须知前附表的要求外，还应遵守以下规定：</w:t>
      </w:r>
    </w:p>
    <w:p>
      <w:pPr>
        <w:spacing w:line="360" w:lineRule="auto"/>
        <w:ind w:firstLine="411" w:firstLineChars="196"/>
        <w:rPr>
          <w:rFonts w:ascii="宋体" w:hAnsi="宋体" w:cs="宋体"/>
          <w:szCs w:val="21"/>
        </w:rPr>
      </w:pPr>
      <w:r>
        <w:rPr>
          <w:rFonts w:hint="eastAsia" w:ascii="宋体" w:hAnsi="宋体" w:cs="宋体"/>
          <w:szCs w:val="21"/>
        </w:rPr>
        <w:t>（1）联合体各方应按招标文件提供的格式签订联合体协议书，明确联合体牵头人和各方权利义务，并承诺就中标项目向招标人承担连带责任；</w:t>
      </w:r>
    </w:p>
    <w:p>
      <w:pPr>
        <w:spacing w:line="360" w:lineRule="auto"/>
        <w:ind w:firstLine="411" w:firstLineChars="196"/>
        <w:rPr>
          <w:rFonts w:ascii="宋体" w:hAnsi="宋体" w:cs="宋体"/>
          <w:szCs w:val="21"/>
        </w:rPr>
      </w:pPr>
      <w:r>
        <w:rPr>
          <w:rFonts w:hint="eastAsia" w:ascii="宋体" w:hAnsi="宋体" w:cs="宋体"/>
          <w:szCs w:val="21"/>
        </w:rPr>
        <w:t>（2）由同一专业的单位组成的联合体，按照资质等级较低的单位确定资质等级；</w:t>
      </w:r>
    </w:p>
    <w:p>
      <w:pPr>
        <w:spacing w:line="360" w:lineRule="auto"/>
        <w:ind w:firstLine="411" w:firstLineChars="196"/>
        <w:rPr>
          <w:rFonts w:ascii="宋体" w:hAnsi="宋体" w:cs="宋体"/>
          <w:szCs w:val="21"/>
        </w:rPr>
      </w:pPr>
      <w:r>
        <w:rPr>
          <w:rFonts w:hint="eastAsia" w:ascii="宋体" w:hAnsi="宋体" w:cs="宋体"/>
          <w:szCs w:val="21"/>
        </w:rPr>
        <w:t>（3）联合体各方不得再以自己名义单独或参加其他联合体在本招标项目中投标，否则各相关投标均无效。</w:t>
      </w:r>
    </w:p>
    <w:p>
      <w:pPr>
        <w:spacing w:line="360" w:lineRule="auto"/>
        <w:ind w:firstLine="411" w:firstLineChars="196"/>
        <w:rPr>
          <w:rFonts w:ascii="宋体" w:hAnsi="宋体" w:cs="宋体"/>
          <w:szCs w:val="21"/>
        </w:rPr>
      </w:pPr>
      <w:r>
        <w:rPr>
          <w:rFonts w:hint="eastAsia" w:ascii="宋体" w:hAnsi="宋体" w:cs="宋体"/>
          <w:szCs w:val="21"/>
        </w:rPr>
        <w:t>1.4.3 投标人不得存在下列情形之一：</w:t>
      </w:r>
    </w:p>
    <w:p>
      <w:pPr>
        <w:spacing w:line="360" w:lineRule="auto"/>
        <w:ind w:firstLine="411" w:firstLineChars="196"/>
        <w:rPr>
          <w:rFonts w:ascii="宋体" w:hAnsi="宋体" w:cs="宋体"/>
          <w:szCs w:val="21"/>
        </w:rPr>
      </w:pPr>
      <w:r>
        <w:rPr>
          <w:rFonts w:hint="eastAsia" w:ascii="宋体" w:hAnsi="宋体" w:cs="宋体"/>
          <w:szCs w:val="21"/>
        </w:rPr>
        <w:t>（1）与招标人存在利害关系且可能影响招标公正性；</w:t>
      </w:r>
    </w:p>
    <w:p>
      <w:pPr>
        <w:spacing w:line="360" w:lineRule="auto"/>
        <w:ind w:firstLine="411" w:firstLineChars="196"/>
        <w:rPr>
          <w:rFonts w:ascii="宋体" w:hAnsi="宋体" w:cs="宋体"/>
          <w:szCs w:val="21"/>
        </w:rPr>
      </w:pPr>
      <w:r>
        <w:rPr>
          <w:rFonts w:hint="eastAsia" w:ascii="宋体" w:hAnsi="宋体" w:cs="宋体"/>
          <w:szCs w:val="21"/>
        </w:rPr>
        <w:t>（2）与本招标项目的其他投标人为同一个单位负责人；</w:t>
      </w:r>
    </w:p>
    <w:p>
      <w:pPr>
        <w:spacing w:line="360" w:lineRule="auto"/>
        <w:ind w:firstLine="411" w:firstLineChars="196"/>
        <w:rPr>
          <w:rFonts w:ascii="宋体" w:hAnsi="宋体" w:cs="宋体"/>
          <w:szCs w:val="21"/>
        </w:rPr>
      </w:pPr>
      <w:r>
        <w:rPr>
          <w:rFonts w:hint="eastAsia" w:ascii="宋体" w:hAnsi="宋体" w:cs="宋体"/>
          <w:szCs w:val="21"/>
        </w:rPr>
        <w:t>（3）与本招标项目的其他投标人存在控股、管理关系；</w:t>
      </w:r>
    </w:p>
    <w:p>
      <w:pPr>
        <w:spacing w:line="360" w:lineRule="auto"/>
        <w:ind w:firstLine="411" w:firstLineChars="196"/>
        <w:rPr>
          <w:rFonts w:ascii="宋体" w:hAnsi="宋体" w:cs="宋体"/>
          <w:szCs w:val="21"/>
        </w:rPr>
      </w:pPr>
      <w:r>
        <w:rPr>
          <w:rFonts w:hint="eastAsia" w:ascii="宋体" w:hAnsi="宋体" w:cs="宋体"/>
          <w:szCs w:val="21"/>
        </w:rPr>
        <w:t>（4）与本招标项目其他投标人代理同一个制造商同一品牌同一型号的设备投标；</w:t>
      </w:r>
    </w:p>
    <w:p>
      <w:pPr>
        <w:spacing w:line="360" w:lineRule="auto"/>
        <w:ind w:firstLine="411" w:firstLineChars="196"/>
        <w:rPr>
          <w:rFonts w:ascii="宋体" w:hAnsi="宋体" w:cs="宋体"/>
          <w:szCs w:val="21"/>
        </w:rPr>
      </w:pPr>
      <w:r>
        <w:rPr>
          <w:rFonts w:hint="eastAsia" w:ascii="宋体" w:hAnsi="宋体" w:cs="宋体"/>
          <w:szCs w:val="21"/>
        </w:rPr>
        <w:t>（5）为本招标项目提供过设计、编制技术规范和其他文件的咨询服务；</w:t>
      </w:r>
    </w:p>
    <w:p>
      <w:pPr>
        <w:spacing w:line="360" w:lineRule="auto"/>
        <w:ind w:firstLine="411" w:firstLineChars="196"/>
        <w:rPr>
          <w:rFonts w:ascii="宋体" w:hAnsi="宋体" w:cs="宋体"/>
          <w:szCs w:val="21"/>
        </w:rPr>
      </w:pPr>
      <w:r>
        <w:rPr>
          <w:rFonts w:hint="eastAsia" w:ascii="宋体" w:hAnsi="宋体" w:cs="宋体"/>
          <w:szCs w:val="21"/>
        </w:rPr>
        <w:t>（6）为本工程项目的相关监理人，或者与本工程项目的相关监理人存在隶属关系或者其他利害关系；</w:t>
      </w:r>
    </w:p>
    <w:p>
      <w:pPr>
        <w:spacing w:line="360" w:lineRule="auto"/>
        <w:ind w:firstLine="411" w:firstLineChars="196"/>
        <w:rPr>
          <w:rFonts w:ascii="宋体" w:hAnsi="宋体" w:cs="宋体"/>
          <w:szCs w:val="21"/>
        </w:rPr>
      </w:pPr>
      <w:r>
        <w:rPr>
          <w:rFonts w:hint="eastAsia" w:ascii="宋体" w:hAnsi="宋体" w:cs="宋体"/>
          <w:szCs w:val="21"/>
        </w:rPr>
        <w:t>（7）为本招标项目的代建人；</w:t>
      </w:r>
    </w:p>
    <w:p>
      <w:pPr>
        <w:spacing w:line="360" w:lineRule="auto"/>
        <w:ind w:firstLine="411" w:firstLineChars="196"/>
        <w:rPr>
          <w:rFonts w:ascii="宋体" w:hAnsi="宋体" w:cs="宋体"/>
          <w:szCs w:val="21"/>
        </w:rPr>
      </w:pPr>
      <w:r>
        <w:rPr>
          <w:rFonts w:hint="eastAsia" w:ascii="宋体" w:hAnsi="宋体" w:cs="宋体"/>
          <w:szCs w:val="21"/>
        </w:rPr>
        <w:t>（8）为本招标项目的招标代理机构；</w:t>
      </w:r>
    </w:p>
    <w:p>
      <w:pPr>
        <w:spacing w:line="360" w:lineRule="auto"/>
        <w:ind w:firstLine="411" w:firstLineChars="196"/>
        <w:rPr>
          <w:rFonts w:ascii="宋体" w:hAnsi="宋体" w:cs="宋体"/>
          <w:szCs w:val="21"/>
        </w:rPr>
      </w:pPr>
      <w:r>
        <w:rPr>
          <w:rFonts w:hint="eastAsia" w:ascii="宋体" w:hAnsi="宋体" w:cs="宋体"/>
          <w:szCs w:val="21"/>
        </w:rPr>
        <w:t>（9）与本招标项目的监理人或代建人或招标代理机构同为一个法定代表人；</w:t>
      </w:r>
    </w:p>
    <w:p>
      <w:pPr>
        <w:spacing w:line="360" w:lineRule="auto"/>
        <w:ind w:firstLine="411" w:firstLineChars="196"/>
        <w:rPr>
          <w:rFonts w:ascii="宋体" w:hAnsi="宋体" w:cs="宋体"/>
          <w:szCs w:val="21"/>
        </w:rPr>
      </w:pPr>
      <w:r>
        <w:rPr>
          <w:rFonts w:hint="eastAsia" w:ascii="宋体" w:hAnsi="宋体" w:cs="宋体"/>
          <w:szCs w:val="21"/>
        </w:rPr>
        <w:t>（10）与本招标项目的监理人或代建人或招标代理机构存在控股或参股关系；</w:t>
      </w:r>
    </w:p>
    <w:p>
      <w:pPr>
        <w:spacing w:line="360" w:lineRule="auto"/>
        <w:ind w:firstLine="411" w:firstLineChars="196"/>
        <w:rPr>
          <w:rFonts w:ascii="宋体" w:hAnsi="宋体" w:cs="宋体"/>
          <w:szCs w:val="21"/>
        </w:rPr>
      </w:pPr>
      <w:r>
        <w:rPr>
          <w:rFonts w:hint="eastAsia" w:ascii="宋体" w:hAnsi="宋体" w:cs="宋体"/>
          <w:szCs w:val="21"/>
        </w:rPr>
        <w:t>（11）被依法暂停或者取消投标资格；</w:t>
      </w:r>
    </w:p>
    <w:p>
      <w:pPr>
        <w:spacing w:line="360" w:lineRule="auto"/>
        <w:ind w:firstLine="411" w:firstLineChars="196"/>
        <w:rPr>
          <w:rFonts w:ascii="宋体" w:hAnsi="宋体" w:cs="宋体"/>
          <w:szCs w:val="21"/>
        </w:rPr>
      </w:pPr>
      <w:r>
        <w:rPr>
          <w:rFonts w:hint="eastAsia" w:ascii="宋体" w:hAnsi="宋体" w:cs="宋体"/>
          <w:szCs w:val="21"/>
        </w:rPr>
        <w:t>（12）被责令停产停业、暂扣或者吊销许可证、暂扣或者吊销执照；</w:t>
      </w:r>
    </w:p>
    <w:p>
      <w:pPr>
        <w:spacing w:line="360" w:lineRule="auto"/>
        <w:ind w:firstLine="411" w:firstLineChars="196"/>
        <w:rPr>
          <w:rFonts w:ascii="宋体" w:hAnsi="宋体" w:cs="宋体"/>
          <w:szCs w:val="21"/>
        </w:rPr>
      </w:pPr>
      <w:r>
        <w:rPr>
          <w:rFonts w:hint="eastAsia" w:ascii="宋体" w:hAnsi="宋体" w:cs="宋体"/>
          <w:szCs w:val="21"/>
        </w:rPr>
        <w:t>（13）进入清算程序，或被宣告破产，或其他丧失履约能力的情形；</w:t>
      </w:r>
    </w:p>
    <w:p>
      <w:pPr>
        <w:spacing w:line="360" w:lineRule="auto"/>
        <w:ind w:firstLine="411" w:firstLineChars="196"/>
        <w:rPr>
          <w:rFonts w:ascii="宋体" w:hAnsi="宋体" w:cs="宋体"/>
          <w:szCs w:val="21"/>
        </w:rPr>
      </w:pPr>
      <w:r>
        <w:rPr>
          <w:rFonts w:hint="eastAsia" w:ascii="宋体" w:hAnsi="宋体" w:cs="宋体"/>
          <w:szCs w:val="21"/>
        </w:rPr>
        <w:t>（14）在最近三年内发生重大产品质量问题（以相关行业主管部门的行政处罚决定或司法机关出具的有关法律文书为准）；</w:t>
      </w:r>
    </w:p>
    <w:p>
      <w:pPr>
        <w:spacing w:line="360" w:lineRule="auto"/>
        <w:ind w:firstLine="411" w:firstLineChars="196"/>
        <w:rPr>
          <w:rFonts w:ascii="宋体" w:hAnsi="宋体" w:cs="宋体"/>
          <w:szCs w:val="21"/>
        </w:rPr>
      </w:pPr>
      <w:r>
        <w:rPr>
          <w:rFonts w:hint="eastAsia" w:ascii="宋体" w:hAnsi="宋体" w:cs="宋体"/>
          <w:szCs w:val="21"/>
        </w:rPr>
        <w:t>（15）被工商行政管理机关在全国企业信用信息公示系统中列入严重违法失信企业名单；</w:t>
      </w:r>
    </w:p>
    <w:p>
      <w:pPr>
        <w:spacing w:line="360" w:lineRule="auto"/>
        <w:ind w:firstLine="411" w:firstLineChars="196"/>
        <w:rPr>
          <w:rFonts w:ascii="宋体" w:hAnsi="宋体" w:cs="宋体"/>
          <w:szCs w:val="21"/>
        </w:rPr>
      </w:pPr>
      <w:r>
        <w:rPr>
          <w:rFonts w:hint="eastAsia" w:ascii="宋体" w:hAnsi="宋体" w:cs="宋体"/>
          <w:szCs w:val="21"/>
        </w:rPr>
        <w:t>（16）被最高人民法院在“信用中国”网站（www.creditchina.gov.cn）或各级信用信息共享平 台中列入失信被执行人名单；</w:t>
      </w:r>
    </w:p>
    <w:p>
      <w:pPr>
        <w:spacing w:line="360" w:lineRule="auto"/>
        <w:ind w:firstLine="411" w:firstLineChars="196"/>
        <w:rPr>
          <w:rFonts w:ascii="宋体" w:hAnsi="宋体" w:cs="宋体"/>
          <w:szCs w:val="21"/>
        </w:rPr>
      </w:pPr>
      <w:r>
        <w:rPr>
          <w:rFonts w:hint="eastAsia" w:ascii="宋体" w:hAnsi="宋体" w:cs="宋体"/>
          <w:szCs w:val="21"/>
        </w:rPr>
        <w:t>（17）在近三年内投标人或其法定代表人、拟委任的项目负责人有行贿犯罪行为的；</w:t>
      </w:r>
    </w:p>
    <w:p>
      <w:pPr>
        <w:spacing w:line="360" w:lineRule="auto"/>
        <w:ind w:firstLine="411" w:firstLineChars="196"/>
        <w:rPr>
          <w:rFonts w:ascii="宋体" w:hAnsi="宋体" w:cs="宋体"/>
          <w:szCs w:val="21"/>
        </w:rPr>
      </w:pPr>
      <w:r>
        <w:rPr>
          <w:rFonts w:hint="eastAsia" w:ascii="宋体" w:hAnsi="宋体" w:cs="宋体"/>
          <w:szCs w:val="21"/>
        </w:rPr>
        <w:t>（18）法律法规或投标人须知前附表规定的其他情形。</w:t>
      </w:r>
    </w:p>
    <w:p>
      <w:pPr>
        <w:spacing w:line="360" w:lineRule="auto"/>
        <w:ind w:firstLine="411" w:firstLineChars="196"/>
        <w:rPr>
          <w:rFonts w:ascii="宋体" w:hAnsi="宋体" w:cs="宋体"/>
          <w:szCs w:val="21"/>
        </w:rPr>
      </w:pPr>
      <w:r>
        <w:rPr>
          <w:rFonts w:hint="eastAsia" w:ascii="宋体" w:hAnsi="宋体" w:cs="宋体"/>
          <w:szCs w:val="21"/>
        </w:rPr>
        <w:t>1.5 费用承担</w:t>
      </w:r>
    </w:p>
    <w:p>
      <w:pPr>
        <w:spacing w:line="360" w:lineRule="auto"/>
        <w:ind w:firstLine="411" w:firstLineChars="196"/>
        <w:rPr>
          <w:rFonts w:ascii="宋体" w:hAnsi="宋体" w:cs="宋体"/>
          <w:szCs w:val="21"/>
        </w:rPr>
      </w:pPr>
      <w:r>
        <w:rPr>
          <w:rFonts w:hint="eastAsia" w:ascii="宋体" w:hAnsi="宋体" w:cs="宋体"/>
          <w:szCs w:val="21"/>
        </w:rPr>
        <w:t>投标人准备和参加投标活动发生的费用自理。</w:t>
      </w:r>
    </w:p>
    <w:p>
      <w:pPr>
        <w:spacing w:line="360" w:lineRule="auto"/>
        <w:ind w:firstLine="411" w:firstLineChars="196"/>
        <w:rPr>
          <w:rFonts w:ascii="宋体" w:hAnsi="宋体" w:cs="宋体"/>
          <w:szCs w:val="21"/>
        </w:rPr>
      </w:pPr>
      <w:r>
        <w:rPr>
          <w:rFonts w:hint="eastAsia" w:ascii="宋体" w:hAnsi="宋体" w:cs="宋体"/>
          <w:szCs w:val="21"/>
        </w:rPr>
        <w:t>1.6 保密</w:t>
      </w:r>
    </w:p>
    <w:p>
      <w:pPr>
        <w:spacing w:line="360" w:lineRule="auto"/>
        <w:ind w:firstLine="411" w:firstLineChars="196"/>
        <w:rPr>
          <w:rFonts w:ascii="宋体" w:hAnsi="宋体" w:cs="宋体"/>
          <w:szCs w:val="21"/>
        </w:rPr>
      </w:pPr>
      <w:r>
        <w:rPr>
          <w:rFonts w:hint="eastAsia" w:ascii="宋体" w:hAnsi="宋体" w:cs="宋体"/>
          <w:szCs w:val="21"/>
        </w:rPr>
        <w:t>参与招标投标活动的各方应对招标文件和投标文件中的商业和技术等秘密保密，否则应承担相应的法律责任。</w:t>
      </w:r>
    </w:p>
    <w:p>
      <w:pPr>
        <w:spacing w:line="360" w:lineRule="auto"/>
        <w:ind w:firstLine="411" w:firstLineChars="196"/>
        <w:rPr>
          <w:rFonts w:ascii="宋体" w:hAnsi="宋体" w:cs="宋体"/>
          <w:szCs w:val="21"/>
        </w:rPr>
      </w:pPr>
      <w:r>
        <w:rPr>
          <w:rFonts w:hint="eastAsia" w:ascii="宋体" w:hAnsi="宋体" w:cs="宋体"/>
          <w:szCs w:val="21"/>
        </w:rPr>
        <w:t>1.7 语言文字</w:t>
      </w:r>
    </w:p>
    <w:p>
      <w:pPr>
        <w:spacing w:line="360" w:lineRule="auto"/>
        <w:ind w:firstLine="411" w:firstLineChars="196"/>
        <w:rPr>
          <w:rFonts w:ascii="宋体" w:hAnsi="宋体" w:cs="宋体"/>
          <w:szCs w:val="21"/>
        </w:rPr>
      </w:pPr>
      <w:r>
        <w:rPr>
          <w:rFonts w:hint="eastAsia" w:ascii="宋体" w:hAnsi="宋体" w:cs="宋体"/>
          <w:szCs w:val="21"/>
        </w:rPr>
        <w:t>招标投标文件使用的语言文字为中文。专用术语使用外文的，应附有中文注释。</w:t>
      </w:r>
    </w:p>
    <w:p>
      <w:pPr>
        <w:spacing w:line="360" w:lineRule="auto"/>
        <w:ind w:firstLine="411" w:firstLineChars="196"/>
        <w:rPr>
          <w:rFonts w:ascii="宋体" w:hAnsi="宋体" w:cs="宋体"/>
          <w:szCs w:val="21"/>
        </w:rPr>
      </w:pPr>
      <w:r>
        <w:rPr>
          <w:rFonts w:hint="eastAsia" w:ascii="宋体" w:hAnsi="宋体" w:cs="宋体"/>
          <w:szCs w:val="21"/>
        </w:rPr>
        <w:t>1.8 计量单位</w:t>
      </w:r>
    </w:p>
    <w:p>
      <w:pPr>
        <w:spacing w:line="360" w:lineRule="auto"/>
        <w:ind w:firstLine="411" w:firstLineChars="196"/>
        <w:rPr>
          <w:rFonts w:ascii="宋体" w:hAnsi="宋体" w:cs="宋体"/>
          <w:szCs w:val="21"/>
        </w:rPr>
      </w:pPr>
      <w:r>
        <w:rPr>
          <w:rFonts w:hint="eastAsia" w:ascii="宋体" w:hAnsi="宋体" w:cs="宋体"/>
          <w:szCs w:val="21"/>
        </w:rPr>
        <w:t>所有计量均采用中华人民共和国法定计量单位。</w:t>
      </w:r>
    </w:p>
    <w:p>
      <w:pPr>
        <w:spacing w:line="360" w:lineRule="auto"/>
        <w:ind w:firstLine="411" w:firstLineChars="196"/>
        <w:rPr>
          <w:rFonts w:ascii="宋体" w:hAnsi="宋体" w:cs="宋体"/>
          <w:szCs w:val="21"/>
        </w:rPr>
      </w:pPr>
      <w:r>
        <w:rPr>
          <w:rFonts w:hint="eastAsia" w:ascii="宋体" w:hAnsi="宋体" w:cs="宋体"/>
          <w:szCs w:val="21"/>
        </w:rPr>
        <w:t>1.9 投标预备会</w:t>
      </w:r>
    </w:p>
    <w:p>
      <w:pPr>
        <w:spacing w:line="360" w:lineRule="auto"/>
        <w:ind w:firstLine="411" w:firstLineChars="196"/>
        <w:rPr>
          <w:rFonts w:ascii="宋体" w:hAnsi="宋体" w:cs="宋体"/>
          <w:szCs w:val="21"/>
        </w:rPr>
      </w:pPr>
      <w:r>
        <w:rPr>
          <w:rFonts w:hint="eastAsia" w:ascii="宋体" w:hAnsi="宋体" w:cs="宋体"/>
          <w:szCs w:val="21"/>
        </w:rPr>
        <w:t>1.9.1 投标人须知前附表规定召开投标预备会的，招标人按投标人须知前附表规定的时间和地点召开投标预备会，澄清投标人提出的问题。</w:t>
      </w:r>
    </w:p>
    <w:p>
      <w:pPr>
        <w:spacing w:line="360" w:lineRule="auto"/>
        <w:ind w:firstLine="411" w:firstLineChars="196"/>
        <w:rPr>
          <w:rFonts w:ascii="宋体" w:hAnsi="宋体" w:cs="宋体"/>
          <w:szCs w:val="21"/>
        </w:rPr>
      </w:pPr>
      <w:r>
        <w:rPr>
          <w:rFonts w:hint="eastAsia" w:ascii="宋体" w:hAnsi="宋体" w:cs="宋体"/>
          <w:szCs w:val="21"/>
        </w:rPr>
        <w:t>1.9.2 投标人应按投标人须知前附表规定的时间和形式将提出的问题送达招标人，以便招标人在会议期间澄清。</w:t>
      </w:r>
    </w:p>
    <w:p>
      <w:pPr>
        <w:spacing w:line="360" w:lineRule="auto"/>
        <w:ind w:firstLine="411" w:firstLineChars="196"/>
        <w:rPr>
          <w:rFonts w:ascii="宋体" w:hAnsi="宋体" w:cs="宋体"/>
          <w:szCs w:val="21"/>
        </w:rPr>
      </w:pPr>
      <w:r>
        <w:rPr>
          <w:rFonts w:hint="eastAsia" w:ascii="宋体" w:hAnsi="宋体" w:cs="宋体"/>
          <w:szCs w:val="21"/>
        </w:rPr>
        <w:t>1.9.3 投标预备会后，招标人将对投标人所提问题的澄清，以投标人须知前附表规定的形式通知所有购买招标文件的投标人。该澄清内容为招标文件的组成部分。</w:t>
      </w:r>
    </w:p>
    <w:p>
      <w:pPr>
        <w:spacing w:line="360" w:lineRule="auto"/>
        <w:ind w:firstLine="411" w:firstLineChars="196"/>
        <w:rPr>
          <w:rFonts w:ascii="宋体" w:hAnsi="宋体" w:cs="宋体"/>
          <w:szCs w:val="21"/>
        </w:rPr>
      </w:pPr>
      <w:r>
        <w:rPr>
          <w:rFonts w:hint="eastAsia" w:ascii="宋体" w:hAnsi="宋体" w:cs="宋体"/>
          <w:szCs w:val="21"/>
        </w:rPr>
        <w:t>1.10 分包</w:t>
      </w:r>
    </w:p>
    <w:p>
      <w:pPr>
        <w:spacing w:line="360" w:lineRule="auto"/>
        <w:ind w:firstLine="411" w:firstLineChars="196"/>
        <w:rPr>
          <w:rFonts w:ascii="宋体" w:hAnsi="宋体" w:cs="宋体"/>
          <w:szCs w:val="21"/>
        </w:rPr>
      </w:pPr>
      <w:r>
        <w:rPr>
          <w:rFonts w:hint="eastAsia" w:ascii="宋体" w:hAnsi="宋体" w:cs="宋体"/>
          <w:szCs w:val="21"/>
        </w:rPr>
        <w:t>1.10.1 投标人拟在中标后将中标项目的非主体设备进行分包的，应符合投标人须知前附表规定的分包内容、分包金额和资质要求等限制性条件，除投标人须知前附表规定的非主体设备外，其他工作不得分包。</w:t>
      </w:r>
    </w:p>
    <w:p>
      <w:pPr>
        <w:spacing w:line="360" w:lineRule="auto"/>
        <w:ind w:firstLine="411" w:firstLineChars="196"/>
        <w:rPr>
          <w:rFonts w:ascii="宋体" w:hAnsi="宋体" w:cs="宋体"/>
          <w:szCs w:val="21"/>
        </w:rPr>
      </w:pPr>
      <w:r>
        <w:rPr>
          <w:rFonts w:hint="eastAsia" w:ascii="宋体" w:hAnsi="宋体" w:cs="宋体"/>
          <w:szCs w:val="21"/>
        </w:rPr>
        <w:t>1.10.2 中标人不得向他人转让中标项目，接受分包的人不得再次分包。中标人应当就分包项目向招标人负责，接受分包的人就分包项目承担连带责任。</w:t>
      </w:r>
    </w:p>
    <w:p>
      <w:pPr>
        <w:spacing w:line="360" w:lineRule="auto"/>
        <w:ind w:firstLine="411" w:firstLineChars="196"/>
        <w:rPr>
          <w:rFonts w:ascii="宋体" w:hAnsi="宋体" w:cs="宋体"/>
          <w:szCs w:val="21"/>
        </w:rPr>
      </w:pPr>
      <w:r>
        <w:rPr>
          <w:rFonts w:hint="eastAsia" w:ascii="宋体" w:hAnsi="宋体" w:cs="宋体"/>
          <w:szCs w:val="21"/>
        </w:rPr>
        <w:t>1.11 响应和偏差</w:t>
      </w:r>
    </w:p>
    <w:p>
      <w:pPr>
        <w:spacing w:line="360" w:lineRule="auto"/>
        <w:ind w:firstLine="411" w:firstLineChars="196"/>
        <w:rPr>
          <w:rFonts w:ascii="宋体" w:hAnsi="宋体" w:cs="宋体"/>
          <w:szCs w:val="21"/>
        </w:rPr>
      </w:pPr>
      <w:r>
        <w:rPr>
          <w:rFonts w:hint="eastAsia" w:ascii="宋体" w:hAnsi="宋体" w:cs="宋体"/>
          <w:szCs w:val="21"/>
        </w:rPr>
        <w:t>1.11.1 投标文件应当对招标文件的实质性要求和条件作出满足性或更有利于招标人的响应，否则，投标人的投标将被否决。实质性要求和条件见投标人须知前附表。</w:t>
      </w:r>
    </w:p>
    <w:p>
      <w:pPr>
        <w:spacing w:line="360" w:lineRule="auto"/>
        <w:ind w:firstLine="411" w:firstLineChars="196"/>
        <w:rPr>
          <w:rFonts w:ascii="宋体" w:hAnsi="宋体" w:cs="宋体"/>
          <w:szCs w:val="21"/>
        </w:rPr>
      </w:pPr>
      <w:r>
        <w:rPr>
          <w:rFonts w:hint="eastAsia" w:ascii="宋体" w:hAnsi="宋体" w:cs="宋体"/>
          <w:szCs w:val="21"/>
        </w:rPr>
        <w:t>1.11.2投标人应根据招标文件的要求提供投标设备技术性能指标的详细描述、技术支持资料及技术服务和质保期服务计划等内容以对招标文件作出响应。</w:t>
      </w:r>
    </w:p>
    <w:p>
      <w:pPr>
        <w:spacing w:line="360" w:lineRule="auto"/>
        <w:ind w:firstLine="411" w:firstLineChars="196"/>
        <w:rPr>
          <w:rFonts w:ascii="宋体" w:hAnsi="宋体" w:cs="宋体"/>
          <w:szCs w:val="21"/>
        </w:rPr>
      </w:pPr>
      <w:r>
        <w:rPr>
          <w:rFonts w:hint="eastAsia" w:ascii="宋体" w:hAnsi="宋体" w:cs="宋体"/>
          <w:szCs w:val="21"/>
        </w:rPr>
        <w:t>1.11.3 投标文件中应针对实质性要求和条件中列明的技术要求提供技术支持资料。技术支持资料以制造商公开发布的印刷资料，或检测机构出具的检测报告或投标人须知前附表允许的 其他形式为准，不符合前述要求的，视为无技术支持资料，其投标将被否决。</w:t>
      </w:r>
    </w:p>
    <w:p>
      <w:pPr>
        <w:spacing w:line="360" w:lineRule="auto"/>
        <w:ind w:firstLine="411" w:firstLineChars="196"/>
        <w:rPr>
          <w:rFonts w:ascii="宋体" w:hAnsi="宋体" w:cs="宋体"/>
          <w:szCs w:val="21"/>
        </w:rPr>
      </w:pPr>
      <w:r>
        <w:rPr>
          <w:rFonts w:hint="eastAsia" w:ascii="宋体" w:hAnsi="宋体" w:cs="宋体"/>
          <w:szCs w:val="21"/>
        </w:rPr>
        <w:t>1.11.4 投标人须知前附表规定了可以偏差的范围和最高偏差项数的，偏差应当符合投标人须知前附表规定的偏差范围和最高项数，超出偏差范围和最高偏差项数的投标将被否决。</w:t>
      </w:r>
    </w:p>
    <w:p>
      <w:pPr>
        <w:spacing w:line="360" w:lineRule="auto"/>
        <w:ind w:firstLine="411" w:firstLineChars="196"/>
        <w:rPr>
          <w:rFonts w:ascii="宋体" w:hAnsi="宋体" w:cs="宋体"/>
          <w:szCs w:val="21"/>
        </w:rPr>
      </w:pPr>
      <w:r>
        <w:rPr>
          <w:rFonts w:hint="eastAsia" w:ascii="宋体" w:hAnsi="宋体" w:cs="宋体"/>
          <w:szCs w:val="21"/>
        </w:rPr>
        <w:t>1.11.5 投标文件对招标文件的全部偏差，均应在投标文件的商务和技术偏差表中列明，除列明的内容外，视为投标人响应招标文件的全部要求。</w:t>
      </w:r>
    </w:p>
    <w:p>
      <w:pPr>
        <w:pStyle w:val="5"/>
        <w:keepNext/>
        <w:keepLines/>
        <w:pageBreakBefore w:val="0"/>
        <w:widowControl/>
        <w:kinsoku/>
        <w:wordWrap/>
        <w:overflowPunct/>
        <w:topLinePunct w:val="0"/>
        <w:autoSpaceDE/>
        <w:autoSpaceDN/>
        <w:bidi w:val="0"/>
        <w:adjustRightInd/>
        <w:snapToGrid/>
        <w:spacing w:line="15" w:lineRule="auto"/>
        <w:textAlignment w:val="auto"/>
        <w:rPr>
          <w:sz w:val="24"/>
          <w:szCs w:val="24"/>
          <w:lang w:val="en-US" w:eastAsia="zh-CN"/>
        </w:rPr>
      </w:pPr>
      <w:r>
        <w:rPr>
          <w:rFonts w:hint="eastAsia"/>
          <w:sz w:val="24"/>
          <w:szCs w:val="24"/>
          <w:lang w:val="en-US" w:eastAsia="zh-CN"/>
        </w:rPr>
        <w:t>2. 招标文件</w:t>
      </w:r>
    </w:p>
    <w:p>
      <w:pPr>
        <w:spacing w:line="360" w:lineRule="auto"/>
        <w:ind w:firstLine="411" w:firstLineChars="196"/>
        <w:rPr>
          <w:rFonts w:ascii="宋体" w:hAnsi="宋体" w:cs="宋体"/>
          <w:szCs w:val="21"/>
        </w:rPr>
      </w:pPr>
      <w:r>
        <w:rPr>
          <w:rFonts w:hint="eastAsia" w:ascii="宋体" w:hAnsi="宋体" w:cs="宋体"/>
          <w:szCs w:val="21"/>
        </w:rPr>
        <w:t>2.1 招标文件的组成</w:t>
      </w:r>
    </w:p>
    <w:p>
      <w:pPr>
        <w:spacing w:line="360" w:lineRule="auto"/>
        <w:ind w:firstLine="411" w:firstLineChars="196"/>
        <w:rPr>
          <w:rFonts w:ascii="宋体" w:hAnsi="宋体" w:cs="宋体"/>
          <w:szCs w:val="21"/>
        </w:rPr>
      </w:pPr>
      <w:r>
        <w:rPr>
          <w:rFonts w:hint="eastAsia" w:ascii="宋体" w:hAnsi="宋体" w:cs="宋体"/>
          <w:szCs w:val="21"/>
        </w:rPr>
        <w:t>本招标文件包括：</w:t>
      </w:r>
    </w:p>
    <w:p>
      <w:pPr>
        <w:spacing w:line="360" w:lineRule="auto"/>
        <w:ind w:firstLine="411" w:firstLineChars="196"/>
        <w:rPr>
          <w:rFonts w:ascii="宋体" w:hAnsi="宋体" w:cs="宋体"/>
          <w:szCs w:val="21"/>
        </w:rPr>
      </w:pPr>
      <w:r>
        <w:rPr>
          <w:rFonts w:hint="eastAsia" w:ascii="宋体" w:hAnsi="宋体" w:cs="宋体"/>
          <w:szCs w:val="21"/>
        </w:rPr>
        <w:t>（1）招标公告（或投标邀请书）；</w:t>
      </w:r>
    </w:p>
    <w:p>
      <w:pPr>
        <w:spacing w:line="360" w:lineRule="auto"/>
        <w:ind w:firstLine="411" w:firstLineChars="196"/>
        <w:rPr>
          <w:rFonts w:ascii="宋体" w:hAnsi="宋体" w:cs="宋体"/>
          <w:szCs w:val="21"/>
        </w:rPr>
      </w:pPr>
      <w:r>
        <w:rPr>
          <w:rFonts w:hint="eastAsia" w:ascii="宋体" w:hAnsi="宋体" w:cs="宋体"/>
          <w:szCs w:val="21"/>
        </w:rPr>
        <w:t>（2）投标人须知；</w:t>
      </w:r>
    </w:p>
    <w:p>
      <w:pPr>
        <w:spacing w:line="360" w:lineRule="auto"/>
        <w:ind w:firstLine="411" w:firstLineChars="196"/>
        <w:rPr>
          <w:rFonts w:ascii="宋体" w:hAnsi="宋体" w:cs="宋体"/>
          <w:szCs w:val="21"/>
        </w:rPr>
      </w:pPr>
      <w:r>
        <w:rPr>
          <w:rFonts w:hint="eastAsia" w:ascii="宋体" w:hAnsi="宋体" w:cs="宋体"/>
          <w:szCs w:val="21"/>
        </w:rPr>
        <w:t>（3）评标办法；</w:t>
      </w:r>
    </w:p>
    <w:p>
      <w:pPr>
        <w:spacing w:line="360" w:lineRule="auto"/>
        <w:ind w:firstLine="411" w:firstLineChars="196"/>
        <w:rPr>
          <w:rFonts w:ascii="宋体" w:hAnsi="宋体" w:cs="宋体"/>
          <w:szCs w:val="21"/>
        </w:rPr>
      </w:pPr>
      <w:r>
        <w:rPr>
          <w:rFonts w:hint="eastAsia" w:ascii="宋体" w:hAnsi="宋体" w:cs="宋体"/>
          <w:szCs w:val="21"/>
        </w:rPr>
        <w:t>（4）合同条款及格式；</w:t>
      </w:r>
    </w:p>
    <w:p>
      <w:pPr>
        <w:spacing w:line="360" w:lineRule="auto"/>
        <w:ind w:firstLine="411" w:firstLineChars="196"/>
        <w:rPr>
          <w:rFonts w:ascii="宋体" w:hAnsi="宋体" w:cs="宋体"/>
          <w:szCs w:val="21"/>
        </w:rPr>
      </w:pPr>
      <w:r>
        <w:rPr>
          <w:rFonts w:hint="eastAsia" w:ascii="宋体" w:hAnsi="宋体" w:cs="宋体"/>
          <w:szCs w:val="21"/>
        </w:rPr>
        <w:t>（5）供货要求；</w:t>
      </w:r>
    </w:p>
    <w:p>
      <w:pPr>
        <w:spacing w:line="360" w:lineRule="auto"/>
        <w:ind w:firstLine="411" w:firstLineChars="196"/>
        <w:rPr>
          <w:rFonts w:ascii="宋体" w:hAnsi="宋体" w:cs="宋体"/>
          <w:szCs w:val="21"/>
        </w:rPr>
      </w:pPr>
      <w:r>
        <w:rPr>
          <w:rFonts w:hint="eastAsia" w:ascii="宋体" w:hAnsi="宋体" w:cs="宋体"/>
          <w:szCs w:val="21"/>
        </w:rPr>
        <w:t>（6）投标文件格式；</w:t>
      </w:r>
    </w:p>
    <w:p>
      <w:pPr>
        <w:spacing w:line="360" w:lineRule="auto"/>
        <w:ind w:firstLine="411" w:firstLineChars="196"/>
        <w:rPr>
          <w:rFonts w:ascii="宋体" w:hAnsi="宋体" w:cs="宋体"/>
          <w:szCs w:val="21"/>
        </w:rPr>
      </w:pPr>
      <w:r>
        <w:rPr>
          <w:rFonts w:hint="eastAsia" w:ascii="宋体" w:hAnsi="宋体" w:cs="宋体"/>
          <w:szCs w:val="21"/>
        </w:rPr>
        <w:t>（7）投标人须知前附表规定的其他资料。</w:t>
      </w:r>
    </w:p>
    <w:p>
      <w:pPr>
        <w:spacing w:line="360" w:lineRule="auto"/>
        <w:ind w:firstLine="411" w:firstLineChars="196"/>
        <w:rPr>
          <w:rFonts w:ascii="宋体" w:hAnsi="宋体" w:cs="宋体"/>
          <w:szCs w:val="21"/>
        </w:rPr>
      </w:pPr>
      <w:r>
        <w:rPr>
          <w:rFonts w:hint="eastAsia" w:ascii="宋体" w:hAnsi="宋体" w:cs="宋体"/>
          <w:szCs w:val="21"/>
        </w:rPr>
        <w:t>根据本章第 1.9 款、第 2.2 款和第 2.3 款对招标文件所作的澄清、修改，构成招标文件的组成部分。</w:t>
      </w:r>
    </w:p>
    <w:p>
      <w:pPr>
        <w:spacing w:line="360" w:lineRule="auto"/>
        <w:ind w:firstLine="411" w:firstLineChars="196"/>
        <w:rPr>
          <w:rFonts w:ascii="宋体" w:hAnsi="宋体" w:cs="宋体"/>
          <w:szCs w:val="21"/>
        </w:rPr>
      </w:pPr>
      <w:r>
        <w:rPr>
          <w:rFonts w:hint="eastAsia" w:ascii="宋体" w:hAnsi="宋体" w:cs="宋体"/>
          <w:szCs w:val="21"/>
        </w:rPr>
        <w:t>2.2 招标文件的澄清</w:t>
      </w:r>
    </w:p>
    <w:p>
      <w:pPr>
        <w:spacing w:line="360" w:lineRule="auto"/>
        <w:ind w:firstLine="411" w:firstLineChars="196"/>
        <w:rPr>
          <w:rFonts w:ascii="宋体" w:hAnsi="宋体" w:cs="宋体"/>
          <w:szCs w:val="21"/>
        </w:rPr>
      </w:pPr>
      <w:r>
        <w:rPr>
          <w:rFonts w:hint="eastAsia" w:ascii="宋体" w:hAnsi="宋体" w:cs="宋体"/>
          <w:szCs w:val="21"/>
        </w:rPr>
        <w:t>2.2.1 投标人应仔细阅读和检查招标文件的全部内容。如发现缺页或附件不全，应及时向招标人提出，以便补齐。如有疑问，应按投标人须知前附表规定的时间和形式将提出的问题送达招标人，要求招标人对招标文件予以澄清。</w:t>
      </w:r>
    </w:p>
    <w:p>
      <w:pPr>
        <w:spacing w:line="360" w:lineRule="auto"/>
        <w:ind w:firstLine="411" w:firstLineChars="196"/>
        <w:rPr>
          <w:rFonts w:ascii="宋体" w:hAnsi="宋体" w:cs="宋体"/>
          <w:szCs w:val="21"/>
        </w:rPr>
      </w:pPr>
      <w:r>
        <w:rPr>
          <w:rFonts w:hint="eastAsia" w:ascii="宋体" w:hAnsi="宋体" w:cs="宋体"/>
          <w:szCs w:val="21"/>
        </w:rPr>
        <w:t>2.2.2 招标文件的澄清以投标人须知前附表规定的形式发给所有购买招标文件的投标人，但不指明澄清问题的来源。澄清发出的时间距本章第 4.2.1 项规定的投标截止时间不足 15 日的，并且澄清内容可能影响投标文件编制的，将相应延长投标截止时间。</w:t>
      </w:r>
    </w:p>
    <w:p>
      <w:pPr>
        <w:spacing w:line="360" w:lineRule="auto"/>
        <w:ind w:firstLine="411" w:firstLineChars="196"/>
        <w:rPr>
          <w:rFonts w:ascii="宋体" w:hAnsi="宋体" w:cs="宋体"/>
          <w:szCs w:val="21"/>
        </w:rPr>
      </w:pPr>
      <w:r>
        <w:rPr>
          <w:rFonts w:hint="eastAsia" w:ascii="宋体" w:hAnsi="宋体" w:cs="宋体"/>
          <w:szCs w:val="21"/>
        </w:rPr>
        <w:t>2.2.3 投标人在收到澄清后，应按投标人须知前附表规定的时间和形式通知招标人，确认已收到该澄清。</w:t>
      </w:r>
    </w:p>
    <w:p>
      <w:pPr>
        <w:spacing w:line="360" w:lineRule="auto"/>
        <w:ind w:firstLine="411" w:firstLineChars="196"/>
        <w:rPr>
          <w:rFonts w:ascii="宋体" w:hAnsi="宋体" w:cs="宋体"/>
          <w:szCs w:val="21"/>
        </w:rPr>
      </w:pPr>
      <w:r>
        <w:rPr>
          <w:rFonts w:hint="eastAsia" w:ascii="宋体" w:hAnsi="宋体" w:cs="宋体"/>
          <w:szCs w:val="21"/>
        </w:rPr>
        <w:t>2.2.4 除非招标人认为确有必要答复，否则，招标人有权拒绝回复投标人在本章第 2.2.1 项规定的时间后的任何澄清要求。</w:t>
      </w:r>
    </w:p>
    <w:p>
      <w:pPr>
        <w:spacing w:line="360" w:lineRule="auto"/>
        <w:ind w:firstLine="411" w:firstLineChars="196"/>
        <w:rPr>
          <w:rFonts w:ascii="宋体" w:hAnsi="宋体" w:cs="宋体"/>
          <w:szCs w:val="21"/>
        </w:rPr>
      </w:pPr>
      <w:r>
        <w:rPr>
          <w:rFonts w:hint="eastAsia" w:ascii="宋体" w:hAnsi="宋体" w:cs="宋体"/>
          <w:szCs w:val="21"/>
        </w:rPr>
        <w:t>2.3 招标文件的修改</w:t>
      </w:r>
    </w:p>
    <w:p>
      <w:pPr>
        <w:spacing w:line="360" w:lineRule="auto"/>
        <w:ind w:firstLine="411" w:firstLineChars="196"/>
        <w:rPr>
          <w:rFonts w:ascii="宋体" w:hAnsi="宋体" w:cs="宋体"/>
          <w:szCs w:val="21"/>
        </w:rPr>
      </w:pPr>
      <w:r>
        <w:rPr>
          <w:rFonts w:hint="eastAsia" w:ascii="宋体" w:hAnsi="宋体" w:cs="宋体"/>
          <w:szCs w:val="21"/>
        </w:rPr>
        <w:t>2.3.1 招标人以投标人须知前附表规定的形式修改招标文件，并通知所有已购买招标文件的投标人。修改招标文件的时间距本章第 4.2.1 项规定的投标截止时间不足 15 日的，并且修改内容可能影响投标文件编制的，将相应延长投标截止时间。</w:t>
      </w:r>
    </w:p>
    <w:p>
      <w:pPr>
        <w:spacing w:line="360" w:lineRule="auto"/>
        <w:ind w:firstLine="411" w:firstLineChars="196"/>
        <w:rPr>
          <w:rFonts w:ascii="宋体" w:hAnsi="宋体" w:cs="宋体"/>
          <w:szCs w:val="21"/>
        </w:rPr>
      </w:pPr>
      <w:r>
        <w:rPr>
          <w:rFonts w:hint="eastAsia" w:ascii="宋体" w:hAnsi="宋体" w:cs="宋体"/>
          <w:szCs w:val="21"/>
        </w:rPr>
        <w:t>2.3.2 投标人收到修改内容后，应按投标人须知前附表规定的时间和形式通知招标人，确认已收到该修改。</w:t>
      </w:r>
    </w:p>
    <w:p>
      <w:pPr>
        <w:spacing w:line="360" w:lineRule="auto"/>
        <w:ind w:firstLine="411" w:firstLineChars="196"/>
        <w:rPr>
          <w:rFonts w:ascii="宋体" w:hAnsi="宋体" w:cs="宋体"/>
          <w:szCs w:val="21"/>
        </w:rPr>
      </w:pPr>
      <w:r>
        <w:rPr>
          <w:rFonts w:hint="eastAsia" w:ascii="宋体" w:hAnsi="宋体" w:cs="宋体"/>
          <w:szCs w:val="21"/>
        </w:rPr>
        <w:t>2.4 招标文件的异议</w:t>
      </w:r>
    </w:p>
    <w:p>
      <w:pPr>
        <w:spacing w:line="360" w:lineRule="auto"/>
        <w:ind w:firstLine="411" w:firstLineChars="196"/>
        <w:rPr>
          <w:rFonts w:ascii="宋体" w:hAnsi="宋体" w:cs="宋体"/>
          <w:szCs w:val="21"/>
        </w:rPr>
      </w:pPr>
      <w:r>
        <w:rPr>
          <w:rFonts w:hint="eastAsia" w:ascii="宋体" w:hAnsi="宋体" w:cs="宋体"/>
          <w:szCs w:val="21"/>
        </w:rPr>
        <w:t>投标人或者其他利害关系人对招标文件有异议的，应当在投标截止时间 10 日前以书面形式提出。招标人将在收到异议之日起 3 日内作出答复；作出答复前，将暂停招标投标活动。</w:t>
      </w:r>
    </w:p>
    <w:p>
      <w:pPr>
        <w:pStyle w:val="5"/>
        <w:keepNext/>
        <w:keepLines/>
        <w:pageBreakBefore w:val="0"/>
        <w:widowControl/>
        <w:kinsoku/>
        <w:wordWrap/>
        <w:overflowPunct/>
        <w:topLinePunct w:val="0"/>
        <w:autoSpaceDE/>
        <w:autoSpaceDN/>
        <w:bidi w:val="0"/>
        <w:adjustRightInd/>
        <w:snapToGrid/>
        <w:spacing w:line="15" w:lineRule="auto"/>
        <w:textAlignment w:val="auto"/>
        <w:rPr>
          <w:rFonts w:hint="eastAsia"/>
          <w:sz w:val="24"/>
          <w:szCs w:val="24"/>
          <w:lang w:val="en-US" w:eastAsia="zh-CN"/>
        </w:rPr>
      </w:pPr>
      <w:r>
        <w:rPr>
          <w:rFonts w:hint="eastAsia"/>
          <w:sz w:val="24"/>
          <w:szCs w:val="24"/>
          <w:lang w:val="en-US" w:eastAsia="zh-CN"/>
        </w:rPr>
        <w:t>3. 投标文件</w:t>
      </w:r>
    </w:p>
    <w:p>
      <w:pPr>
        <w:spacing w:line="360" w:lineRule="auto"/>
        <w:ind w:firstLine="411" w:firstLineChars="196"/>
        <w:rPr>
          <w:rFonts w:ascii="宋体" w:hAnsi="宋体" w:cs="宋体"/>
          <w:szCs w:val="21"/>
        </w:rPr>
      </w:pPr>
      <w:r>
        <w:rPr>
          <w:rFonts w:hint="eastAsia" w:ascii="宋体" w:hAnsi="宋体" w:cs="宋体"/>
          <w:szCs w:val="21"/>
        </w:rPr>
        <w:t>3.1 投标文件的组成</w:t>
      </w:r>
    </w:p>
    <w:p>
      <w:pPr>
        <w:spacing w:line="360" w:lineRule="auto"/>
        <w:ind w:firstLine="411" w:firstLineChars="196"/>
        <w:rPr>
          <w:rFonts w:ascii="宋体" w:hAnsi="宋体" w:cs="宋体"/>
          <w:szCs w:val="21"/>
        </w:rPr>
      </w:pPr>
      <w:r>
        <w:rPr>
          <w:rFonts w:hint="eastAsia" w:ascii="宋体" w:hAnsi="宋体" w:cs="宋体"/>
          <w:szCs w:val="21"/>
        </w:rPr>
        <w:t>3.1.1 投标文件应包括下列内容：</w:t>
      </w:r>
    </w:p>
    <w:p>
      <w:pPr>
        <w:spacing w:line="360" w:lineRule="auto"/>
        <w:ind w:firstLine="411" w:firstLineChars="196"/>
        <w:rPr>
          <w:rFonts w:ascii="宋体" w:hAnsi="宋体" w:cs="宋体"/>
          <w:szCs w:val="21"/>
        </w:rPr>
      </w:pPr>
      <w:r>
        <w:rPr>
          <w:rFonts w:hint="eastAsia" w:ascii="宋体" w:hAnsi="宋体" w:cs="宋体"/>
          <w:szCs w:val="21"/>
        </w:rPr>
        <w:t>（1）投标函；</w:t>
      </w:r>
    </w:p>
    <w:p>
      <w:pPr>
        <w:spacing w:line="360" w:lineRule="auto"/>
        <w:ind w:firstLine="411" w:firstLineChars="196"/>
        <w:rPr>
          <w:rFonts w:ascii="宋体" w:hAnsi="宋体" w:cs="宋体"/>
          <w:szCs w:val="21"/>
        </w:rPr>
      </w:pPr>
      <w:r>
        <w:rPr>
          <w:rFonts w:hint="eastAsia" w:ascii="宋体" w:hAnsi="宋体" w:cs="宋体"/>
          <w:szCs w:val="21"/>
        </w:rPr>
        <w:t>（2）法定代表人（单位负责人）身份证明或授权委托书；</w:t>
      </w:r>
    </w:p>
    <w:p>
      <w:pPr>
        <w:spacing w:line="360" w:lineRule="auto"/>
        <w:ind w:firstLine="411" w:firstLineChars="196"/>
        <w:rPr>
          <w:rFonts w:ascii="宋体" w:hAnsi="宋体" w:cs="宋体"/>
          <w:szCs w:val="21"/>
        </w:rPr>
      </w:pPr>
      <w:r>
        <w:rPr>
          <w:rFonts w:hint="eastAsia" w:ascii="宋体" w:hAnsi="宋体" w:cs="宋体"/>
          <w:szCs w:val="21"/>
        </w:rPr>
        <w:t>（3）联合体协议书；</w:t>
      </w:r>
    </w:p>
    <w:p>
      <w:pPr>
        <w:spacing w:line="360" w:lineRule="auto"/>
        <w:ind w:firstLine="411" w:firstLineChars="196"/>
        <w:rPr>
          <w:rFonts w:ascii="宋体" w:hAnsi="宋体" w:cs="宋体"/>
          <w:szCs w:val="21"/>
        </w:rPr>
      </w:pPr>
      <w:r>
        <w:rPr>
          <w:rFonts w:hint="eastAsia" w:ascii="宋体" w:hAnsi="宋体" w:cs="宋体"/>
          <w:szCs w:val="21"/>
        </w:rPr>
        <w:t>（4）投标保证金；</w:t>
      </w:r>
    </w:p>
    <w:p>
      <w:pPr>
        <w:spacing w:line="360" w:lineRule="auto"/>
        <w:ind w:firstLine="411" w:firstLineChars="196"/>
        <w:rPr>
          <w:rFonts w:ascii="宋体" w:hAnsi="宋体" w:cs="宋体"/>
          <w:szCs w:val="21"/>
        </w:rPr>
      </w:pPr>
      <w:r>
        <w:rPr>
          <w:rFonts w:hint="eastAsia" w:ascii="宋体" w:hAnsi="宋体" w:cs="宋体"/>
          <w:szCs w:val="21"/>
        </w:rPr>
        <w:t>（5）商务和技术偏差表；</w:t>
      </w:r>
    </w:p>
    <w:p>
      <w:pPr>
        <w:spacing w:line="360" w:lineRule="auto"/>
        <w:ind w:firstLine="411" w:firstLineChars="196"/>
        <w:rPr>
          <w:rFonts w:ascii="宋体" w:hAnsi="宋体" w:cs="宋体"/>
          <w:szCs w:val="21"/>
        </w:rPr>
      </w:pPr>
      <w:r>
        <w:rPr>
          <w:rFonts w:hint="eastAsia" w:ascii="宋体" w:hAnsi="宋体" w:cs="宋体"/>
          <w:szCs w:val="21"/>
        </w:rPr>
        <w:t>（6）分项报价表；</w:t>
      </w:r>
    </w:p>
    <w:p>
      <w:pPr>
        <w:spacing w:line="360" w:lineRule="auto"/>
        <w:ind w:firstLine="411" w:firstLineChars="196"/>
        <w:rPr>
          <w:rFonts w:ascii="宋体" w:hAnsi="宋体" w:cs="宋体"/>
          <w:szCs w:val="21"/>
        </w:rPr>
      </w:pPr>
      <w:r>
        <w:rPr>
          <w:rFonts w:hint="eastAsia" w:ascii="宋体" w:hAnsi="宋体" w:cs="宋体"/>
          <w:szCs w:val="21"/>
        </w:rPr>
        <w:t>（7）资格审查资料；</w:t>
      </w:r>
    </w:p>
    <w:p>
      <w:pPr>
        <w:spacing w:line="360" w:lineRule="auto"/>
        <w:ind w:firstLine="411" w:firstLineChars="196"/>
        <w:rPr>
          <w:rFonts w:ascii="宋体" w:hAnsi="宋体" w:cs="宋体"/>
          <w:szCs w:val="21"/>
        </w:rPr>
      </w:pPr>
      <w:r>
        <w:rPr>
          <w:rFonts w:hint="eastAsia" w:ascii="宋体" w:hAnsi="宋体" w:cs="宋体"/>
          <w:szCs w:val="21"/>
        </w:rPr>
        <w:t>（8）投标设备技术性能指标的详细描述；</w:t>
      </w:r>
    </w:p>
    <w:p>
      <w:pPr>
        <w:spacing w:line="360" w:lineRule="auto"/>
        <w:ind w:firstLine="411" w:firstLineChars="196"/>
        <w:rPr>
          <w:rFonts w:ascii="宋体" w:hAnsi="宋体" w:cs="宋体"/>
          <w:szCs w:val="21"/>
        </w:rPr>
      </w:pPr>
      <w:r>
        <w:rPr>
          <w:rFonts w:hint="eastAsia" w:ascii="宋体" w:hAnsi="宋体" w:cs="宋体"/>
          <w:szCs w:val="21"/>
        </w:rPr>
        <w:t>（9）技术支持资料；</w:t>
      </w:r>
    </w:p>
    <w:p>
      <w:pPr>
        <w:spacing w:line="360" w:lineRule="auto"/>
        <w:ind w:firstLine="411" w:firstLineChars="196"/>
        <w:rPr>
          <w:rFonts w:ascii="宋体" w:hAnsi="宋体" w:cs="宋体"/>
          <w:szCs w:val="21"/>
        </w:rPr>
      </w:pPr>
      <w:r>
        <w:rPr>
          <w:rFonts w:hint="eastAsia" w:ascii="宋体" w:hAnsi="宋体" w:cs="宋体"/>
          <w:szCs w:val="21"/>
        </w:rPr>
        <w:t>（10）技术服务和质保期服务计划；</w:t>
      </w:r>
    </w:p>
    <w:p>
      <w:pPr>
        <w:spacing w:line="360" w:lineRule="auto"/>
        <w:ind w:firstLine="411" w:firstLineChars="196"/>
        <w:rPr>
          <w:rFonts w:ascii="宋体" w:hAnsi="宋体" w:cs="宋体"/>
          <w:szCs w:val="21"/>
        </w:rPr>
      </w:pPr>
      <w:r>
        <w:rPr>
          <w:rFonts w:hint="eastAsia" w:ascii="宋体" w:hAnsi="宋体" w:cs="宋体"/>
          <w:szCs w:val="21"/>
        </w:rPr>
        <w:t>（11）投标人须知前附表规定的其他资料。</w:t>
      </w:r>
    </w:p>
    <w:p>
      <w:pPr>
        <w:spacing w:line="360" w:lineRule="auto"/>
        <w:ind w:firstLine="411" w:firstLineChars="196"/>
        <w:rPr>
          <w:rFonts w:ascii="宋体" w:hAnsi="宋体" w:cs="宋体"/>
          <w:szCs w:val="21"/>
        </w:rPr>
      </w:pPr>
      <w:r>
        <w:rPr>
          <w:rFonts w:hint="eastAsia" w:ascii="宋体" w:hAnsi="宋体" w:cs="宋体"/>
          <w:szCs w:val="21"/>
        </w:rPr>
        <w:t>投标人在评标过程中作出的符合法律法规和招标文件规定的澄清确认，构成投标文件的组成部分。</w:t>
      </w:r>
    </w:p>
    <w:p>
      <w:pPr>
        <w:spacing w:line="360" w:lineRule="auto"/>
        <w:ind w:firstLine="411" w:firstLineChars="196"/>
        <w:rPr>
          <w:rFonts w:ascii="宋体" w:hAnsi="宋体" w:cs="宋体"/>
          <w:szCs w:val="21"/>
        </w:rPr>
      </w:pPr>
      <w:r>
        <w:rPr>
          <w:rFonts w:hint="eastAsia" w:ascii="宋体" w:hAnsi="宋体" w:cs="宋体"/>
          <w:szCs w:val="21"/>
        </w:rPr>
        <w:t>3.1.2 投标人须知前附表规定不接受联合体投标的，或投标人没有组成联合体的，投标文件不包括本章第 3.1.1（3）目所指的联合体协议书。</w:t>
      </w:r>
    </w:p>
    <w:p>
      <w:pPr>
        <w:spacing w:line="360" w:lineRule="auto"/>
        <w:ind w:firstLine="411" w:firstLineChars="196"/>
        <w:rPr>
          <w:rFonts w:ascii="宋体" w:hAnsi="宋体" w:cs="宋体"/>
          <w:szCs w:val="21"/>
        </w:rPr>
      </w:pPr>
      <w:r>
        <w:rPr>
          <w:rFonts w:hint="eastAsia" w:ascii="宋体" w:hAnsi="宋体" w:cs="宋体"/>
          <w:szCs w:val="21"/>
        </w:rPr>
        <w:t>3.1.3 投标人须知前附表未要求提交投标保证金的，投标文件不包括本章第 3.1.1（4）目所指的投标保证金。</w:t>
      </w:r>
    </w:p>
    <w:p>
      <w:pPr>
        <w:spacing w:line="360" w:lineRule="auto"/>
        <w:ind w:firstLine="411" w:firstLineChars="196"/>
        <w:rPr>
          <w:rFonts w:ascii="宋体" w:hAnsi="宋体" w:cs="宋体"/>
          <w:szCs w:val="21"/>
        </w:rPr>
      </w:pPr>
      <w:r>
        <w:rPr>
          <w:rFonts w:hint="eastAsia" w:ascii="宋体" w:hAnsi="宋体" w:cs="宋体"/>
          <w:szCs w:val="21"/>
        </w:rPr>
        <w:t>3.2 投标报价</w:t>
      </w:r>
    </w:p>
    <w:p>
      <w:pPr>
        <w:spacing w:line="360" w:lineRule="auto"/>
        <w:ind w:firstLine="411" w:firstLineChars="196"/>
        <w:rPr>
          <w:rFonts w:ascii="宋体" w:hAnsi="宋体" w:cs="宋体"/>
          <w:szCs w:val="21"/>
        </w:rPr>
      </w:pPr>
      <w:r>
        <w:rPr>
          <w:rFonts w:hint="eastAsia" w:ascii="宋体" w:hAnsi="宋体" w:cs="宋体"/>
          <w:szCs w:val="21"/>
        </w:rPr>
        <w:t>3.2.1 投标报价应包括国家规定的增值税税金，除投标人须知前附表另有规定外，增值税税金按一般计税方法计算。投标人应按第六章“投标文件格式”的要求在投标函中进行报价并填写分项报价表。</w:t>
      </w:r>
    </w:p>
    <w:p>
      <w:pPr>
        <w:spacing w:line="360" w:lineRule="auto"/>
        <w:ind w:firstLine="411" w:firstLineChars="196"/>
        <w:rPr>
          <w:rFonts w:ascii="宋体" w:hAnsi="宋体" w:cs="宋体"/>
          <w:szCs w:val="21"/>
        </w:rPr>
      </w:pPr>
      <w:r>
        <w:rPr>
          <w:rFonts w:hint="eastAsia" w:ascii="宋体" w:hAnsi="宋体" w:cs="宋体"/>
          <w:szCs w:val="21"/>
        </w:rPr>
        <w:t>3.2.2 投标人应充分了解该项目的总体情况以及影响投标报价的其他要素。</w:t>
      </w:r>
    </w:p>
    <w:p>
      <w:pPr>
        <w:spacing w:line="360" w:lineRule="auto"/>
        <w:ind w:firstLine="411" w:firstLineChars="196"/>
        <w:rPr>
          <w:rFonts w:ascii="宋体" w:hAnsi="宋体" w:cs="宋体"/>
          <w:szCs w:val="21"/>
        </w:rPr>
      </w:pPr>
      <w:r>
        <w:rPr>
          <w:rFonts w:hint="eastAsia" w:ascii="宋体" w:hAnsi="宋体" w:cs="宋体"/>
          <w:szCs w:val="21"/>
        </w:rPr>
        <w:t>3.2.3 投标报价为各分项报价金额之和，投标报价与分项报价的合价不一致的，应以各分项合价累计数为准，修正投标报价；如分项报价中存在缺漏项，则视为缺漏项价格已包含在其他 分项报价之中。投标人在投标截止时间前修改投标函中的投标报价总额，应同时修改投标文件“分项报价表”中的相应报价。此修改须符合本章第 4.3 款的有关要求。</w:t>
      </w:r>
    </w:p>
    <w:p>
      <w:pPr>
        <w:spacing w:line="360" w:lineRule="auto"/>
        <w:ind w:firstLine="411" w:firstLineChars="196"/>
        <w:rPr>
          <w:rFonts w:ascii="宋体" w:hAnsi="宋体" w:cs="宋体"/>
          <w:szCs w:val="21"/>
        </w:rPr>
      </w:pPr>
      <w:r>
        <w:rPr>
          <w:rFonts w:hint="eastAsia" w:ascii="宋体" w:hAnsi="宋体" w:cs="宋体"/>
          <w:szCs w:val="21"/>
        </w:rPr>
        <w:t>3.2.4 招标人设有最高投标限价的，投标人的投标报价不得超过最高投标限价，最高投标限价在投标人须知前附表中载明。</w:t>
      </w:r>
    </w:p>
    <w:p>
      <w:pPr>
        <w:spacing w:line="360" w:lineRule="auto"/>
        <w:ind w:firstLine="411" w:firstLineChars="196"/>
        <w:rPr>
          <w:rFonts w:ascii="宋体" w:hAnsi="宋体" w:cs="宋体"/>
          <w:szCs w:val="21"/>
        </w:rPr>
      </w:pPr>
      <w:r>
        <w:rPr>
          <w:rFonts w:hint="eastAsia" w:ascii="宋体" w:hAnsi="宋体" w:cs="宋体"/>
          <w:szCs w:val="21"/>
        </w:rPr>
        <w:t>3.2.5 投标报价的其他要求见投标人须知前附表。</w:t>
      </w:r>
    </w:p>
    <w:p>
      <w:pPr>
        <w:spacing w:line="360" w:lineRule="auto"/>
        <w:ind w:firstLine="411" w:firstLineChars="196"/>
        <w:rPr>
          <w:rFonts w:ascii="宋体" w:hAnsi="宋体" w:cs="宋体"/>
          <w:szCs w:val="21"/>
        </w:rPr>
      </w:pPr>
      <w:r>
        <w:rPr>
          <w:rFonts w:hint="eastAsia" w:ascii="宋体" w:hAnsi="宋体" w:cs="宋体"/>
          <w:szCs w:val="21"/>
        </w:rPr>
        <w:t>3.3 投标有效期</w:t>
      </w:r>
    </w:p>
    <w:p>
      <w:pPr>
        <w:spacing w:line="360" w:lineRule="auto"/>
        <w:ind w:firstLine="411" w:firstLineChars="196"/>
        <w:rPr>
          <w:rFonts w:ascii="宋体" w:hAnsi="宋体" w:cs="宋体"/>
          <w:szCs w:val="21"/>
        </w:rPr>
      </w:pPr>
      <w:r>
        <w:rPr>
          <w:rFonts w:hint="eastAsia" w:ascii="宋体" w:hAnsi="宋体" w:cs="宋体"/>
          <w:szCs w:val="21"/>
        </w:rPr>
        <w:t>3.3.1 除投标人须知前附表另有规定外，投标有效期为 90 天。</w:t>
      </w:r>
    </w:p>
    <w:p>
      <w:pPr>
        <w:spacing w:line="360" w:lineRule="auto"/>
        <w:ind w:firstLine="411" w:firstLineChars="196"/>
        <w:rPr>
          <w:rFonts w:ascii="宋体" w:hAnsi="宋体" w:cs="宋体"/>
          <w:szCs w:val="21"/>
        </w:rPr>
      </w:pPr>
      <w:r>
        <w:rPr>
          <w:rFonts w:hint="eastAsia" w:ascii="宋体" w:hAnsi="宋体" w:cs="宋体"/>
          <w:szCs w:val="21"/>
        </w:rPr>
        <w:t>3.3.2 在投标有效期内，投标人撤销投标文件的，应承担招标文件和法律规定的责任。</w:t>
      </w:r>
    </w:p>
    <w:p>
      <w:pPr>
        <w:spacing w:line="360" w:lineRule="auto"/>
        <w:ind w:firstLine="411" w:firstLineChars="196"/>
        <w:rPr>
          <w:rFonts w:ascii="宋体" w:hAnsi="宋体" w:cs="宋体"/>
          <w:szCs w:val="21"/>
        </w:rPr>
      </w:pPr>
      <w:r>
        <w:rPr>
          <w:rFonts w:hint="eastAsia" w:ascii="宋体" w:hAnsi="宋体" w:cs="宋体"/>
          <w:szCs w:val="21"/>
        </w:rPr>
        <w:t>3.3.3 出现特殊情况需要延长投标有效期的，招标人以书面形式通知所有投标人延长投标有效期。投标人应予以书面答复，同意延长的，应相应延长其投标保证金的有效期，但不得要求或被允许修改其投标文件；投标人拒绝延长的，其投标失效，但投标人有权收回其投标保证金及以现金或者支票形式递交的投标保证金的银行同期存款利息。</w:t>
      </w:r>
    </w:p>
    <w:p>
      <w:pPr>
        <w:spacing w:line="360" w:lineRule="auto"/>
        <w:ind w:firstLine="411" w:firstLineChars="196"/>
        <w:rPr>
          <w:rFonts w:ascii="宋体" w:hAnsi="宋体" w:cs="宋体"/>
          <w:szCs w:val="21"/>
        </w:rPr>
      </w:pPr>
      <w:r>
        <w:rPr>
          <w:rFonts w:hint="eastAsia" w:ascii="宋体" w:hAnsi="宋体" w:cs="宋体"/>
          <w:szCs w:val="21"/>
        </w:rPr>
        <w:t>3.4 投标保证金</w:t>
      </w:r>
    </w:p>
    <w:p>
      <w:pPr>
        <w:spacing w:line="360" w:lineRule="auto"/>
        <w:ind w:firstLine="411" w:firstLineChars="196"/>
        <w:rPr>
          <w:rFonts w:ascii="宋体" w:hAnsi="宋体" w:cs="宋体"/>
          <w:szCs w:val="21"/>
        </w:rPr>
      </w:pPr>
      <w:r>
        <w:rPr>
          <w:rFonts w:hint="eastAsia" w:ascii="宋体" w:hAnsi="宋体" w:cs="宋体"/>
          <w:szCs w:val="21"/>
        </w:rPr>
        <w:t>3.4.1 投标人在递交投标文件的同时，应按投标人须知前附表规定的金额、形式和第六章“投标文件格式”规定的投标保证金格式递交投标保证金，并作为其投标文件的组成部分。境内投标人以现金或者支票形式提交的投标保证金，应当从其基本账户转出。联合体投标的，其投标保证金可以由牵头人递交，并应符合投标人须知前附表的规定。</w:t>
      </w:r>
    </w:p>
    <w:p>
      <w:pPr>
        <w:spacing w:line="360" w:lineRule="auto"/>
        <w:ind w:firstLine="411" w:firstLineChars="196"/>
        <w:rPr>
          <w:rFonts w:ascii="宋体" w:hAnsi="宋体" w:cs="宋体"/>
          <w:szCs w:val="21"/>
        </w:rPr>
      </w:pPr>
      <w:r>
        <w:rPr>
          <w:rFonts w:hint="eastAsia" w:ascii="宋体" w:hAnsi="宋体" w:cs="宋体"/>
          <w:szCs w:val="21"/>
        </w:rPr>
        <w:t>3.4.2 投标人不按本章第 3.4.1 项要求提交投标保证金的，评标委员会将否决其投标。</w:t>
      </w:r>
    </w:p>
    <w:p>
      <w:pPr>
        <w:spacing w:line="360" w:lineRule="auto"/>
        <w:ind w:firstLine="411" w:firstLineChars="196"/>
        <w:rPr>
          <w:rFonts w:ascii="宋体" w:hAnsi="宋体" w:cs="宋体"/>
          <w:szCs w:val="21"/>
        </w:rPr>
      </w:pPr>
      <w:r>
        <w:rPr>
          <w:rFonts w:hint="eastAsia" w:ascii="宋体" w:hAnsi="宋体" w:cs="宋体"/>
          <w:szCs w:val="21"/>
        </w:rPr>
        <w:t>3.4.3 招标人最迟将在与中标人签订合同后 5 日内，向未中标的投标人和中标人退还投标保证金。投标保证金以现金或者支票形式递交的，还应退还银行同期存款利息。</w:t>
      </w:r>
    </w:p>
    <w:p>
      <w:pPr>
        <w:spacing w:line="360" w:lineRule="auto"/>
        <w:ind w:firstLine="411" w:firstLineChars="196"/>
        <w:rPr>
          <w:rFonts w:ascii="宋体" w:hAnsi="宋体" w:cs="宋体"/>
          <w:szCs w:val="21"/>
        </w:rPr>
      </w:pPr>
      <w:r>
        <w:rPr>
          <w:rFonts w:hint="eastAsia" w:ascii="宋体" w:hAnsi="宋体" w:cs="宋体"/>
          <w:szCs w:val="21"/>
        </w:rPr>
        <w:t>3.4.4 有下列情形之一的，投标保证金将不予退还：</w:t>
      </w:r>
    </w:p>
    <w:p>
      <w:pPr>
        <w:spacing w:line="360" w:lineRule="auto"/>
        <w:ind w:firstLine="411" w:firstLineChars="196"/>
        <w:rPr>
          <w:rFonts w:ascii="宋体" w:hAnsi="宋体" w:cs="宋体"/>
          <w:szCs w:val="21"/>
        </w:rPr>
      </w:pPr>
      <w:r>
        <w:rPr>
          <w:rFonts w:hint="eastAsia" w:ascii="宋体" w:hAnsi="宋体" w:cs="宋体"/>
          <w:szCs w:val="21"/>
        </w:rPr>
        <w:t>（1）投标人在投标有效期内撤销投标文件；</w:t>
      </w:r>
    </w:p>
    <w:p>
      <w:pPr>
        <w:spacing w:line="360" w:lineRule="auto"/>
        <w:ind w:firstLine="411" w:firstLineChars="196"/>
        <w:rPr>
          <w:rFonts w:ascii="宋体" w:hAnsi="宋体" w:cs="宋体"/>
          <w:szCs w:val="21"/>
        </w:rPr>
      </w:pPr>
      <w:r>
        <w:rPr>
          <w:rFonts w:hint="eastAsia" w:ascii="宋体" w:hAnsi="宋体" w:cs="宋体"/>
          <w:szCs w:val="21"/>
        </w:rPr>
        <w:t>（2）中标人在收到中标通知书后，无正当理由不与招标人订立合同，在签订合同时向招标人提出附加条件，或者不按照招标文件要求提交履约保证金；</w:t>
      </w:r>
    </w:p>
    <w:p>
      <w:pPr>
        <w:spacing w:line="360" w:lineRule="auto"/>
        <w:ind w:firstLine="411" w:firstLineChars="196"/>
        <w:rPr>
          <w:rFonts w:ascii="宋体" w:hAnsi="宋体" w:cs="宋体"/>
          <w:szCs w:val="21"/>
        </w:rPr>
      </w:pPr>
      <w:r>
        <w:rPr>
          <w:rFonts w:hint="eastAsia" w:ascii="宋体" w:hAnsi="宋体" w:cs="宋体"/>
          <w:szCs w:val="21"/>
        </w:rPr>
        <w:t>（3）发生投标人须知前附表规定的其他可以不予退还投标保证金的情形。</w:t>
      </w:r>
    </w:p>
    <w:p>
      <w:pPr>
        <w:spacing w:line="360" w:lineRule="auto"/>
        <w:ind w:firstLine="411" w:firstLineChars="196"/>
        <w:rPr>
          <w:rFonts w:ascii="宋体" w:hAnsi="宋体" w:cs="宋体"/>
          <w:szCs w:val="21"/>
        </w:rPr>
      </w:pPr>
      <w:r>
        <w:rPr>
          <w:rFonts w:hint="eastAsia" w:ascii="宋体" w:hAnsi="宋体" w:cs="宋体"/>
          <w:szCs w:val="21"/>
        </w:rPr>
        <w:t>3.5 资格审查资料（适用于已进行资格预审的）</w:t>
      </w:r>
    </w:p>
    <w:p>
      <w:pPr>
        <w:spacing w:line="360" w:lineRule="auto"/>
        <w:ind w:firstLine="411" w:firstLineChars="196"/>
        <w:rPr>
          <w:rFonts w:ascii="宋体" w:hAnsi="宋体" w:cs="宋体"/>
          <w:szCs w:val="21"/>
        </w:rPr>
      </w:pPr>
      <w:r>
        <w:rPr>
          <w:rFonts w:hint="eastAsia" w:ascii="宋体" w:hAnsi="宋体" w:cs="宋体"/>
          <w:szCs w:val="21"/>
        </w:rPr>
        <w:t>投标人在递交投标文件前，发生可能影响其投标资格的新情况的，应更新或补充其在申请资格预审时提供的资料，以证实其各项资格条件仍能继续满足资格预审文件的要求，且没有实质性降低。</w:t>
      </w:r>
    </w:p>
    <w:p>
      <w:pPr>
        <w:spacing w:line="360" w:lineRule="auto"/>
        <w:ind w:firstLine="411" w:firstLineChars="196"/>
        <w:rPr>
          <w:rFonts w:ascii="宋体" w:hAnsi="宋体" w:cs="宋体"/>
          <w:szCs w:val="21"/>
        </w:rPr>
      </w:pPr>
      <w:r>
        <w:rPr>
          <w:rFonts w:hint="eastAsia" w:ascii="宋体" w:hAnsi="宋体" w:cs="宋体"/>
          <w:szCs w:val="21"/>
        </w:rPr>
        <w:t>3.5 资格审查资料（适用于未进行资格预审的）</w:t>
      </w:r>
    </w:p>
    <w:p>
      <w:pPr>
        <w:spacing w:line="360" w:lineRule="auto"/>
        <w:ind w:firstLine="411" w:firstLineChars="196"/>
        <w:rPr>
          <w:rFonts w:ascii="宋体" w:hAnsi="宋体" w:cs="宋体"/>
          <w:szCs w:val="21"/>
        </w:rPr>
      </w:pPr>
      <w:r>
        <w:rPr>
          <w:rFonts w:hint="eastAsia" w:ascii="宋体" w:hAnsi="宋体" w:cs="宋体"/>
          <w:szCs w:val="21"/>
        </w:rPr>
        <w:t>除投标人须知前附表另有规定外，投标人应按下列规定提供资格审查资料，以证明其满足本章第 1.4 款规定的资质、财务、业绩、信誉等要求。</w:t>
      </w:r>
    </w:p>
    <w:p>
      <w:pPr>
        <w:spacing w:line="360" w:lineRule="auto"/>
        <w:ind w:firstLine="411" w:firstLineChars="196"/>
        <w:rPr>
          <w:rFonts w:ascii="宋体" w:hAnsi="宋体" w:cs="宋体"/>
          <w:szCs w:val="21"/>
        </w:rPr>
      </w:pPr>
      <w:r>
        <w:rPr>
          <w:rFonts w:hint="eastAsia" w:ascii="宋体" w:hAnsi="宋体" w:cs="宋体"/>
          <w:szCs w:val="21"/>
        </w:rPr>
        <w:t>3.5.1 “投标人基本情况表”应附投标人及其制造商（适用于代理经销商投标的情形）资格或者资质证书副本和投标材料检验或认证等材料的复印件以及：</w:t>
      </w:r>
    </w:p>
    <w:p>
      <w:pPr>
        <w:spacing w:line="360" w:lineRule="auto"/>
        <w:ind w:firstLine="411" w:firstLineChars="196"/>
        <w:rPr>
          <w:rFonts w:ascii="宋体" w:hAnsi="宋体" w:cs="宋体"/>
          <w:szCs w:val="21"/>
        </w:rPr>
      </w:pPr>
      <w:r>
        <w:rPr>
          <w:rFonts w:hint="eastAsia" w:ascii="宋体" w:hAnsi="宋体" w:cs="宋体"/>
          <w:szCs w:val="21"/>
        </w:rPr>
        <w:t>（1）投标人为企业的，应提交营业执照和组织机构代码证的复印件（按照“三证合一”或“五证合一”登记制度进行登记的，可仅提供营业执照复印件）；</w:t>
      </w:r>
    </w:p>
    <w:p>
      <w:pPr>
        <w:spacing w:line="360" w:lineRule="auto"/>
        <w:ind w:firstLine="411" w:firstLineChars="196"/>
        <w:rPr>
          <w:rFonts w:ascii="宋体" w:hAnsi="宋体" w:cs="宋体"/>
          <w:szCs w:val="21"/>
        </w:rPr>
      </w:pPr>
      <w:r>
        <w:rPr>
          <w:rFonts w:hint="eastAsia" w:ascii="宋体" w:hAnsi="宋体" w:cs="宋体"/>
          <w:szCs w:val="21"/>
        </w:rPr>
        <w:t>（2）投标人为依法允许经营的事业单位的，应提交事业单位法人证书和组织机构代码证的复印件。</w:t>
      </w:r>
    </w:p>
    <w:p>
      <w:pPr>
        <w:spacing w:line="360" w:lineRule="auto"/>
        <w:ind w:firstLine="411" w:firstLineChars="196"/>
        <w:rPr>
          <w:rFonts w:ascii="宋体" w:hAnsi="宋体" w:cs="宋体"/>
          <w:szCs w:val="21"/>
        </w:rPr>
      </w:pPr>
      <w:r>
        <w:rPr>
          <w:rFonts w:hint="eastAsia" w:ascii="宋体" w:hAnsi="宋体" w:cs="宋体"/>
          <w:szCs w:val="21"/>
        </w:rPr>
        <w:t>3.5.2 “近年财务状况表”应附经会计师事务所或审计机构审计的财务会计报表，包括资产负债表、现金流量表、利润表和财务情况说明书的复印件，具体年份要求见投标人须知前附表。 投标人的成立时间少于投标人须知前附表规定年份的，应提供成立以来的财务状况表。</w:t>
      </w:r>
    </w:p>
    <w:p>
      <w:pPr>
        <w:spacing w:line="360" w:lineRule="auto"/>
        <w:ind w:firstLine="411" w:firstLineChars="196"/>
        <w:rPr>
          <w:rFonts w:ascii="宋体" w:hAnsi="宋体" w:cs="宋体"/>
          <w:szCs w:val="21"/>
        </w:rPr>
      </w:pPr>
      <w:r>
        <w:rPr>
          <w:rFonts w:hint="eastAsia" w:ascii="宋体" w:hAnsi="宋体" w:cs="宋体"/>
          <w:szCs w:val="21"/>
        </w:rPr>
        <w:t>3.5.3 “近年完成的类似项目情况表”应附中标通知书和（或）合同协议书、设备进场验收证书等的复印件，具体时间要求见投标人须知前附表。每张表格只填写一个项目，并标明序号。</w:t>
      </w:r>
    </w:p>
    <w:p>
      <w:pPr>
        <w:spacing w:line="360" w:lineRule="auto"/>
        <w:ind w:firstLine="411" w:firstLineChars="196"/>
        <w:rPr>
          <w:rFonts w:ascii="宋体" w:hAnsi="宋体" w:cs="宋体"/>
          <w:szCs w:val="21"/>
        </w:rPr>
      </w:pPr>
      <w:r>
        <w:rPr>
          <w:rFonts w:hint="eastAsia" w:ascii="宋体" w:hAnsi="宋体" w:cs="宋体"/>
          <w:szCs w:val="21"/>
        </w:rPr>
        <w:t>3.5.4 “正在供货和新承接的项目情况表”应附中标通知书和（或）合同协议书复印件。每张表格只填写一个项目，并标明序号。</w:t>
      </w:r>
    </w:p>
    <w:p>
      <w:pPr>
        <w:spacing w:line="360" w:lineRule="auto"/>
        <w:ind w:firstLine="411" w:firstLineChars="196"/>
        <w:rPr>
          <w:rFonts w:ascii="宋体" w:hAnsi="宋体" w:cs="宋体"/>
          <w:szCs w:val="21"/>
        </w:rPr>
      </w:pPr>
      <w:r>
        <w:rPr>
          <w:rFonts w:hint="eastAsia" w:ascii="宋体" w:hAnsi="宋体" w:cs="宋体"/>
          <w:szCs w:val="21"/>
        </w:rPr>
        <w:t>3.5.5 “近年发生的诉讼及仲裁情况”应说明投标人败诉的设备买卖合同的相关情况，并附法院或仲裁机构作出的判决、裁决等有关法律文书复印件，具体时间要求见投标人须知前附表。</w:t>
      </w:r>
    </w:p>
    <w:p>
      <w:pPr>
        <w:spacing w:line="360" w:lineRule="auto"/>
        <w:ind w:firstLine="411" w:firstLineChars="196"/>
        <w:rPr>
          <w:rFonts w:ascii="宋体" w:hAnsi="宋体" w:cs="宋体"/>
          <w:szCs w:val="21"/>
        </w:rPr>
      </w:pPr>
      <w:r>
        <w:rPr>
          <w:rFonts w:hint="eastAsia" w:ascii="宋体" w:hAnsi="宋体" w:cs="宋体"/>
          <w:szCs w:val="21"/>
        </w:rPr>
        <w:t>3.5.6 投标人须知前附表规定接受联合体投标的，本章第 3.5.1 项至第 3.5.5 项规定的表格和 资料应包括联合体各方相关情况。</w:t>
      </w:r>
    </w:p>
    <w:p>
      <w:pPr>
        <w:spacing w:line="360" w:lineRule="auto"/>
        <w:ind w:firstLine="411" w:firstLineChars="196"/>
        <w:rPr>
          <w:rFonts w:ascii="宋体" w:hAnsi="宋体" w:cs="宋体"/>
          <w:szCs w:val="21"/>
        </w:rPr>
      </w:pPr>
      <w:r>
        <w:rPr>
          <w:rFonts w:hint="eastAsia" w:ascii="宋体" w:hAnsi="宋体" w:cs="宋体"/>
          <w:szCs w:val="21"/>
        </w:rPr>
        <w:t>3.6 备选投标方案</w:t>
      </w:r>
    </w:p>
    <w:p>
      <w:pPr>
        <w:spacing w:line="360" w:lineRule="auto"/>
        <w:ind w:firstLine="411" w:firstLineChars="196"/>
        <w:rPr>
          <w:rFonts w:ascii="宋体" w:hAnsi="宋体" w:cs="宋体"/>
          <w:szCs w:val="21"/>
        </w:rPr>
      </w:pPr>
      <w:r>
        <w:rPr>
          <w:rFonts w:hint="eastAsia" w:ascii="宋体" w:hAnsi="宋体" w:cs="宋体"/>
          <w:szCs w:val="21"/>
        </w:rPr>
        <w:t>3.6.1 除投标人须知前附表规定允许外，投标人不得递交备选投标方案，否则其投标将被否决。</w:t>
      </w:r>
    </w:p>
    <w:p>
      <w:pPr>
        <w:spacing w:line="360" w:lineRule="auto"/>
        <w:ind w:firstLine="411" w:firstLineChars="196"/>
        <w:rPr>
          <w:rFonts w:ascii="宋体" w:hAnsi="宋体" w:cs="宋体"/>
          <w:szCs w:val="21"/>
        </w:rPr>
      </w:pPr>
      <w:r>
        <w:rPr>
          <w:rFonts w:hint="eastAsia" w:ascii="宋体" w:hAnsi="宋体" w:cs="宋体"/>
          <w:szCs w:val="21"/>
        </w:rPr>
        <w:t>3.6.2  允许投标人递交备选投标方案的，只有中标人所递交的备选投标方案方可予以考虑。评标委员会认为中标人的备选投标方案优于其按照招标文件要求编制的投标方案的，招标人可以接受该备选投标方案。</w:t>
      </w:r>
    </w:p>
    <w:p>
      <w:pPr>
        <w:spacing w:line="360" w:lineRule="auto"/>
        <w:ind w:firstLine="411" w:firstLineChars="196"/>
        <w:rPr>
          <w:rFonts w:ascii="宋体" w:hAnsi="宋体" w:cs="宋体"/>
          <w:szCs w:val="21"/>
        </w:rPr>
      </w:pPr>
      <w:r>
        <w:rPr>
          <w:rFonts w:hint="eastAsia" w:ascii="宋体" w:hAnsi="宋体" w:cs="宋体"/>
          <w:szCs w:val="21"/>
        </w:rPr>
        <w:t>3.6.3 投标人提供两个或两个以上投标报价，或者在投标文件中提供一个报价，但同时提供两个或两个以上供货方案的，视为提供备选方案。</w:t>
      </w:r>
    </w:p>
    <w:p>
      <w:pPr>
        <w:spacing w:line="360" w:lineRule="auto"/>
        <w:ind w:firstLine="411" w:firstLineChars="196"/>
        <w:rPr>
          <w:rFonts w:ascii="宋体" w:hAnsi="宋体" w:cs="宋体"/>
          <w:szCs w:val="21"/>
        </w:rPr>
      </w:pPr>
      <w:r>
        <w:rPr>
          <w:rFonts w:hint="eastAsia" w:ascii="宋体" w:hAnsi="宋体" w:cs="宋体"/>
          <w:szCs w:val="21"/>
        </w:rPr>
        <w:t>3.7 投标文件的编制</w:t>
      </w:r>
    </w:p>
    <w:p>
      <w:pPr>
        <w:spacing w:line="360" w:lineRule="auto"/>
        <w:ind w:firstLine="411" w:firstLineChars="196"/>
        <w:rPr>
          <w:rFonts w:ascii="宋体" w:hAnsi="宋体" w:cs="宋体"/>
          <w:szCs w:val="21"/>
        </w:rPr>
      </w:pPr>
      <w:r>
        <w:rPr>
          <w:rFonts w:hint="eastAsia" w:ascii="宋体" w:hAnsi="宋体" w:cs="宋体"/>
          <w:szCs w:val="21"/>
        </w:rPr>
        <w:t>3.7.1 投标文件应按第六章“投标文件格式”进行编写，如有必要，可以增加附页，作为投标文件的组成部分。</w:t>
      </w:r>
    </w:p>
    <w:p>
      <w:pPr>
        <w:spacing w:line="360" w:lineRule="auto"/>
        <w:ind w:firstLine="411" w:firstLineChars="196"/>
        <w:rPr>
          <w:rFonts w:ascii="宋体" w:hAnsi="宋体" w:cs="宋体"/>
          <w:szCs w:val="21"/>
        </w:rPr>
      </w:pPr>
      <w:r>
        <w:rPr>
          <w:rFonts w:hint="eastAsia" w:ascii="宋体" w:hAnsi="宋体" w:cs="宋体"/>
          <w:szCs w:val="21"/>
        </w:rPr>
        <w:t>3.7.2 投标文件应当对招标文件有关供货期、投标有效期、供货要求、招标范围等实质性内容作出响应。投标文件在满足招标文件实质性要求的基础上，可以提出比招标文件要求更有利于招标人的承诺。</w:t>
      </w:r>
    </w:p>
    <w:p>
      <w:pPr>
        <w:spacing w:line="360" w:lineRule="auto"/>
        <w:ind w:firstLine="411" w:firstLineChars="196"/>
        <w:rPr>
          <w:rFonts w:ascii="宋体" w:hAnsi="宋体" w:cs="宋体"/>
          <w:szCs w:val="21"/>
        </w:rPr>
      </w:pPr>
      <w:r>
        <w:rPr>
          <w:rFonts w:hint="eastAsia" w:ascii="宋体" w:hAnsi="宋体" w:cs="宋体"/>
          <w:szCs w:val="21"/>
        </w:rPr>
        <w:t>3.7.3（1）投标文件应用不褪色的材料书写或打印，投标函及对投标文件的澄清、说明和补正应由投标人的法定代表人（单位负责人）或其授权的代理人签字或盖单位章。由投标人的法定代表人（单位负责人）签字的，应附法定代表人（单位负责人）身份证明，由代理人签字的，应附授权委托书，身份证明或授权委托书应符合第六章“投标文件格式”的要求。投标 文件应尽量避免涂改、行间插字或删除。如果出现上述情况，改动之处应由投标人的法定代表人（单位负责人）或其授权的代理人签字或盖单位章。</w:t>
      </w:r>
    </w:p>
    <w:p>
      <w:pPr>
        <w:spacing w:line="360" w:lineRule="auto"/>
        <w:ind w:firstLine="411" w:firstLineChars="196"/>
        <w:rPr>
          <w:rFonts w:ascii="宋体" w:hAnsi="宋体" w:cs="宋体"/>
          <w:szCs w:val="21"/>
        </w:rPr>
      </w:pPr>
      <w:r>
        <w:rPr>
          <w:rFonts w:hint="eastAsia" w:ascii="宋体" w:hAnsi="宋体" w:cs="宋体"/>
          <w:szCs w:val="21"/>
        </w:rPr>
        <w:t>（2）投标文件正本一份，副本份数见投标人须知前附表。正本和副本的封面右上角上应清楚地标记“正本”或“副本”的字样。投标人应根据投标人须知前附表要求提供电子版文件。当副本和正本不一致或电子版文件和纸质正本文件不一致时，以纸质正本文件为准。</w:t>
      </w:r>
    </w:p>
    <w:p>
      <w:pPr>
        <w:spacing w:line="360" w:lineRule="auto"/>
        <w:ind w:firstLine="411" w:firstLineChars="196"/>
        <w:rPr>
          <w:rFonts w:ascii="宋体" w:hAnsi="宋体" w:cs="宋体"/>
          <w:szCs w:val="21"/>
        </w:rPr>
      </w:pPr>
      <w:r>
        <w:rPr>
          <w:rFonts w:hint="eastAsia" w:ascii="宋体" w:hAnsi="宋体" w:cs="宋体"/>
          <w:szCs w:val="21"/>
        </w:rPr>
        <w:t>（3）投标文件的正本与副本应分别装订，并编制目录，投标文件需分册装订的，具体分册装订要求见投标人须知前附表规定。</w:t>
      </w:r>
    </w:p>
    <w:p>
      <w:pPr>
        <w:pStyle w:val="5"/>
        <w:keepNext/>
        <w:keepLines/>
        <w:pageBreakBefore w:val="0"/>
        <w:widowControl/>
        <w:kinsoku/>
        <w:wordWrap/>
        <w:overflowPunct/>
        <w:topLinePunct w:val="0"/>
        <w:autoSpaceDE/>
        <w:autoSpaceDN/>
        <w:bidi w:val="0"/>
        <w:adjustRightInd/>
        <w:snapToGrid/>
        <w:spacing w:line="15" w:lineRule="auto"/>
        <w:textAlignment w:val="auto"/>
        <w:rPr>
          <w:rFonts w:hint="eastAsia"/>
          <w:sz w:val="24"/>
          <w:szCs w:val="24"/>
          <w:lang w:val="en-US" w:eastAsia="zh-CN"/>
        </w:rPr>
      </w:pPr>
      <w:r>
        <w:rPr>
          <w:rFonts w:hint="eastAsia"/>
          <w:sz w:val="24"/>
          <w:szCs w:val="24"/>
          <w:lang w:val="en-US" w:eastAsia="zh-CN"/>
        </w:rPr>
        <w:t>4. 投标</w:t>
      </w:r>
    </w:p>
    <w:p>
      <w:pPr>
        <w:spacing w:line="360" w:lineRule="auto"/>
        <w:ind w:firstLine="411" w:firstLineChars="196"/>
        <w:rPr>
          <w:rFonts w:ascii="宋体" w:hAnsi="宋体" w:cs="宋体"/>
          <w:szCs w:val="21"/>
        </w:rPr>
      </w:pPr>
      <w:r>
        <w:rPr>
          <w:rFonts w:hint="eastAsia" w:ascii="宋体" w:hAnsi="宋体" w:cs="宋体"/>
          <w:szCs w:val="21"/>
        </w:rPr>
        <w:t>4.1 投标文件的密封和标记</w:t>
      </w:r>
    </w:p>
    <w:p>
      <w:pPr>
        <w:spacing w:line="360" w:lineRule="auto"/>
        <w:ind w:firstLine="411" w:firstLineChars="196"/>
        <w:rPr>
          <w:rFonts w:ascii="宋体" w:hAnsi="宋体" w:cs="宋体"/>
          <w:szCs w:val="21"/>
        </w:rPr>
      </w:pPr>
      <w:r>
        <w:rPr>
          <w:rFonts w:hint="eastAsia" w:ascii="宋体" w:hAnsi="宋体" w:cs="宋体"/>
          <w:szCs w:val="21"/>
        </w:rPr>
        <w:t>4.1.1 投标文件应密封包装，并在封套的封口处加盖投标人单位章或由投标人的法定代表人（单位负责人）或其授权的代理人签字。</w:t>
      </w:r>
    </w:p>
    <w:p>
      <w:pPr>
        <w:spacing w:line="360" w:lineRule="auto"/>
        <w:ind w:firstLine="411" w:firstLineChars="196"/>
        <w:rPr>
          <w:rFonts w:ascii="宋体" w:hAnsi="宋体" w:cs="宋体"/>
          <w:szCs w:val="21"/>
        </w:rPr>
      </w:pPr>
      <w:r>
        <w:rPr>
          <w:rFonts w:hint="eastAsia" w:ascii="宋体" w:hAnsi="宋体" w:cs="宋体"/>
          <w:szCs w:val="21"/>
        </w:rPr>
        <w:t>4.1.2 投标文件封套上应写明的内容见投标人须知前附表。</w:t>
      </w:r>
    </w:p>
    <w:p>
      <w:pPr>
        <w:spacing w:line="360" w:lineRule="auto"/>
        <w:ind w:firstLine="411" w:firstLineChars="196"/>
        <w:rPr>
          <w:rFonts w:ascii="宋体" w:hAnsi="宋体" w:cs="宋体"/>
          <w:szCs w:val="21"/>
        </w:rPr>
      </w:pPr>
      <w:r>
        <w:rPr>
          <w:rFonts w:hint="eastAsia" w:ascii="宋体" w:hAnsi="宋体" w:cs="宋体"/>
          <w:szCs w:val="21"/>
        </w:rPr>
        <w:t>4.1.3 未按本章第 4.1.1 项要求密封的投标文件，招标人将予以拒收。</w:t>
      </w:r>
    </w:p>
    <w:p>
      <w:pPr>
        <w:spacing w:line="360" w:lineRule="auto"/>
        <w:ind w:firstLine="411" w:firstLineChars="196"/>
        <w:rPr>
          <w:rFonts w:ascii="宋体" w:hAnsi="宋体" w:cs="宋体"/>
          <w:szCs w:val="21"/>
        </w:rPr>
      </w:pPr>
      <w:r>
        <w:rPr>
          <w:rFonts w:hint="eastAsia" w:ascii="宋体" w:hAnsi="宋体" w:cs="宋体"/>
          <w:szCs w:val="21"/>
        </w:rPr>
        <w:t>4.2 投标文件的递交</w:t>
      </w:r>
    </w:p>
    <w:p>
      <w:pPr>
        <w:spacing w:line="360" w:lineRule="auto"/>
        <w:ind w:firstLine="411" w:firstLineChars="196"/>
        <w:rPr>
          <w:rFonts w:ascii="宋体" w:hAnsi="宋体" w:cs="宋体"/>
          <w:szCs w:val="21"/>
        </w:rPr>
      </w:pPr>
      <w:r>
        <w:rPr>
          <w:rFonts w:hint="eastAsia" w:ascii="宋体" w:hAnsi="宋体" w:cs="宋体"/>
          <w:szCs w:val="21"/>
        </w:rPr>
        <w:t>4.2.1 投标人应在投标人须知前附表规定的投标截止时间前递交投标文件。</w:t>
      </w:r>
    </w:p>
    <w:p>
      <w:pPr>
        <w:spacing w:line="360" w:lineRule="auto"/>
        <w:ind w:firstLine="411" w:firstLineChars="196"/>
        <w:rPr>
          <w:rFonts w:ascii="宋体" w:hAnsi="宋体" w:cs="宋体"/>
          <w:szCs w:val="21"/>
        </w:rPr>
      </w:pPr>
      <w:r>
        <w:rPr>
          <w:rFonts w:hint="eastAsia" w:ascii="宋体" w:hAnsi="宋体" w:cs="宋体"/>
          <w:szCs w:val="21"/>
        </w:rPr>
        <w:t>4.2.2 投标人递交投标文件的地点：见投标人须知前附表。</w:t>
      </w:r>
    </w:p>
    <w:p>
      <w:pPr>
        <w:spacing w:line="360" w:lineRule="auto"/>
        <w:ind w:firstLine="411" w:firstLineChars="196"/>
        <w:rPr>
          <w:rFonts w:ascii="宋体" w:hAnsi="宋体" w:cs="宋体"/>
          <w:szCs w:val="21"/>
        </w:rPr>
      </w:pPr>
      <w:r>
        <w:rPr>
          <w:rFonts w:hint="eastAsia" w:ascii="宋体" w:hAnsi="宋体" w:cs="宋体"/>
          <w:szCs w:val="21"/>
        </w:rPr>
        <w:t>4.2.3 除投标人须知前附表另有规定外，投标人所递交的投标文件不予退还。</w:t>
      </w:r>
    </w:p>
    <w:p>
      <w:pPr>
        <w:spacing w:line="360" w:lineRule="auto"/>
        <w:ind w:firstLine="411" w:firstLineChars="196"/>
        <w:rPr>
          <w:rFonts w:ascii="宋体" w:hAnsi="宋体" w:cs="宋体"/>
          <w:szCs w:val="21"/>
        </w:rPr>
      </w:pPr>
      <w:r>
        <w:rPr>
          <w:rFonts w:hint="eastAsia" w:ascii="宋体" w:hAnsi="宋体" w:cs="宋体"/>
          <w:szCs w:val="21"/>
        </w:rPr>
        <w:t>4.2.4 招标人收到投标文件后，向投标人出具签收凭证。</w:t>
      </w:r>
    </w:p>
    <w:p>
      <w:pPr>
        <w:spacing w:line="360" w:lineRule="auto"/>
        <w:ind w:firstLine="411" w:firstLineChars="196"/>
        <w:rPr>
          <w:rFonts w:ascii="宋体" w:hAnsi="宋体" w:cs="宋体"/>
          <w:szCs w:val="21"/>
        </w:rPr>
      </w:pPr>
      <w:r>
        <w:rPr>
          <w:rFonts w:hint="eastAsia" w:ascii="宋体" w:hAnsi="宋体" w:cs="宋体"/>
          <w:szCs w:val="21"/>
        </w:rPr>
        <w:t>4.2.5 逾期送达的投标文件，招标人将予以拒收。</w:t>
      </w:r>
    </w:p>
    <w:p>
      <w:pPr>
        <w:spacing w:line="360" w:lineRule="auto"/>
        <w:ind w:firstLine="411" w:firstLineChars="196"/>
        <w:rPr>
          <w:rFonts w:ascii="宋体" w:hAnsi="宋体" w:cs="宋体"/>
          <w:szCs w:val="21"/>
        </w:rPr>
      </w:pPr>
      <w:r>
        <w:rPr>
          <w:rFonts w:hint="eastAsia" w:ascii="宋体" w:hAnsi="宋体" w:cs="宋体"/>
          <w:szCs w:val="21"/>
        </w:rPr>
        <w:t>4.3 投标文件的修改与撤回</w:t>
      </w:r>
    </w:p>
    <w:p>
      <w:pPr>
        <w:spacing w:line="360" w:lineRule="auto"/>
        <w:ind w:firstLine="411" w:firstLineChars="196"/>
        <w:rPr>
          <w:rFonts w:ascii="宋体" w:hAnsi="宋体" w:cs="宋体"/>
          <w:szCs w:val="21"/>
        </w:rPr>
      </w:pPr>
      <w:r>
        <w:rPr>
          <w:rFonts w:hint="eastAsia" w:ascii="宋体" w:hAnsi="宋体" w:cs="宋体"/>
          <w:szCs w:val="21"/>
        </w:rPr>
        <w:t>4.3.1 在本章第 4.2.1 项规定的投标截止时间前，投标人可以修改或撤回已递交的投标文件，但应以书面形式通知招标人。</w:t>
      </w:r>
    </w:p>
    <w:p>
      <w:pPr>
        <w:spacing w:line="360" w:lineRule="auto"/>
        <w:ind w:firstLine="411" w:firstLineChars="196"/>
        <w:rPr>
          <w:rFonts w:ascii="宋体" w:hAnsi="宋体" w:cs="宋体"/>
          <w:szCs w:val="21"/>
        </w:rPr>
      </w:pPr>
      <w:r>
        <w:rPr>
          <w:rFonts w:hint="eastAsia" w:ascii="宋体" w:hAnsi="宋体" w:cs="宋体"/>
          <w:szCs w:val="21"/>
        </w:rPr>
        <w:t>4.3.2 投标人修改或撤回已递交投标文件的书面通知应按照本章第 3.7.3项的要求签字或盖章。招标人收到书面通知后，向投标人出具签收凭证。</w:t>
      </w:r>
    </w:p>
    <w:p>
      <w:pPr>
        <w:spacing w:line="360" w:lineRule="auto"/>
        <w:ind w:firstLine="411" w:firstLineChars="196"/>
        <w:rPr>
          <w:rFonts w:ascii="宋体" w:hAnsi="宋体" w:cs="宋体"/>
          <w:szCs w:val="21"/>
        </w:rPr>
      </w:pPr>
      <w:r>
        <w:rPr>
          <w:rFonts w:hint="eastAsia" w:ascii="宋体" w:hAnsi="宋体" w:cs="宋体"/>
          <w:szCs w:val="21"/>
        </w:rPr>
        <w:t>4.3.3 投标人撤回投标文件的，招标人自收到投标人书面撤回通知之日起 5 日内退还已收取的投标保证金。</w:t>
      </w:r>
    </w:p>
    <w:p>
      <w:pPr>
        <w:spacing w:line="360" w:lineRule="auto"/>
        <w:ind w:firstLine="411" w:firstLineChars="196"/>
        <w:rPr>
          <w:rFonts w:ascii="宋体" w:hAnsi="宋体" w:cs="宋体"/>
          <w:szCs w:val="21"/>
        </w:rPr>
      </w:pPr>
      <w:r>
        <w:rPr>
          <w:rFonts w:hint="eastAsia" w:ascii="宋体" w:hAnsi="宋体" w:cs="宋体"/>
          <w:szCs w:val="21"/>
        </w:rPr>
        <w:t>4.3.4 修改的内容为投标文件的组成部分。修改的投标文件应按照本章第3条、第4条的规定进行编制、密封、标记和递交，并标明“修改”字样。</w:t>
      </w:r>
    </w:p>
    <w:p>
      <w:pPr>
        <w:pStyle w:val="5"/>
        <w:keepNext/>
        <w:keepLines/>
        <w:pageBreakBefore w:val="0"/>
        <w:widowControl/>
        <w:kinsoku/>
        <w:wordWrap/>
        <w:overflowPunct/>
        <w:topLinePunct w:val="0"/>
        <w:autoSpaceDE/>
        <w:autoSpaceDN/>
        <w:bidi w:val="0"/>
        <w:adjustRightInd/>
        <w:snapToGrid/>
        <w:spacing w:line="15" w:lineRule="auto"/>
        <w:textAlignment w:val="auto"/>
        <w:rPr>
          <w:rFonts w:hint="eastAsia"/>
          <w:sz w:val="24"/>
          <w:szCs w:val="24"/>
          <w:lang w:val="en-US" w:eastAsia="zh-CN"/>
        </w:rPr>
      </w:pPr>
      <w:r>
        <w:rPr>
          <w:rFonts w:hint="eastAsia"/>
          <w:sz w:val="24"/>
          <w:szCs w:val="24"/>
          <w:lang w:val="en-US" w:eastAsia="zh-CN"/>
        </w:rPr>
        <w:t>5. 开标</w:t>
      </w:r>
    </w:p>
    <w:p>
      <w:pPr>
        <w:spacing w:line="360" w:lineRule="auto"/>
        <w:ind w:firstLine="411" w:firstLineChars="196"/>
        <w:rPr>
          <w:rFonts w:ascii="宋体" w:hAnsi="宋体" w:cs="宋体"/>
          <w:szCs w:val="21"/>
        </w:rPr>
      </w:pPr>
      <w:r>
        <w:rPr>
          <w:rFonts w:hint="eastAsia" w:ascii="宋体" w:hAnsi="宋体" w:cs="宋体"/>
          <w:szCs w:val="21"/>
        </w:rPr>
        <w:t>5.1 开标时间和地点</w:t>
      </w:r>
    </w:p>
    <w:p>
      <w:pPr>
        <w:spacing w:line="360" w:lineRule="auto"/>
        <w:ind w:firstLine="411" w:firstLineChars="196"/>
        <w:rPr>
          <w:rFonts w:ascii="宋体" w:hAnsi="宋体" w:cs="宋体"/>
          <w:szCs w:val="21"/>
        </w:rPr>
      </w:pPr>
      <w:r>
        <w:rPr>
          <w:rFonts w:hint="eastAsia" w:ascii="宋体" w:hAnsi="宋体" w:cs="宋体"/>
          <w:szCs w:val="21"/>
        </w:rPr>
        <w:t>招标人在本章第 4.2.1 项规定的投标截止时间（开标时间）和投标人须知前附表规定的地点公开开标，并邀请所有投标人的法定代表人（单位负责人）或其委托代理人准时参加。</w:t>
      </w:r>
    </w:p>
    <w:p>
      <w:pPr>
        <w:spacing w:line="360" w:lineRule="auto"/>
        <w:ind w:firstLine="411" w:firstLineChars="196"/>
        <w:rPr>
          <w:rFonts w:ascii="宋体" w:hAnsi="宋体" w:cs="宋体"/>
          <w:szCs w:val="21"/>
        </w:rPr>
      </w:pPr>
      <w:r>
        <w:rPr>
          <w:rFonts w:hint="eastAsia" w:ascii="宋体" w:hAnsi="宋体" w:cs="宋体"/>
          <w:szCs w:val="21"/>
        </w:rPr>
        <w:t>5.2 开标程序</w:t>
      </w:r>
    </w:p>
    <w:p>
      <w:pPr>
        <w:spacing w:line="360" w:lineRule="auto"/>
        <w:ind w:firstLine="411" w:firstLineChars="196"/>
        <w:rPr>
          <w:rFonts w:ascii="宋体" w:hAnsi="宋体" w:cs="宋体"/>
          <w:szCs w:val="21"/>
        </w:rPr>
      </w:pPr>
      <w:r>
        <w:rPr>
          <w:rFonts w:hint="eastAsia" w:ascii="宋体" w:hAnsi="宋体" w:cs="宋体"/>
          <w:szCs w:val="21"/>
        </w:rPr>
        <w:t>主持人按下列程序进行开标：</w:t>
      </w:r>
    </w:p>
    <w:p>
      <w:pPr>
        <w:spacing w:line="360" w:lineRule="auto"/>
        <w:ind w:firstLine="411" w:firstLineChars="196"/>
        <w:rPr>
          <w:rFonts w:ascii="宋体" w:hAnsi="宋体" w:cs="宋体"/>
          <w:szCs w:val="21"/>
        </w:rPr>
      </w:pPr>
      <w:r>
        <w:rPr>
          <w:rFonts w:hint="eastAsia" w:ascii="宋体" w:hAnsi="宋体" w:cs="宋体"/>
          <w:szCs w:val="21"/>
        </w:rPr>
        <w:t>（1）宣布开标纪律；</w:t>
      </w:r>
    </w:p>
    <w:p>
      <w:pPr>
        <w:spacing w:line="360" w:lineRule="auto"/>
        <w:ind w:firstLine="411" w:firstLineChars="196"/>
        <w:rPr>
          <w:rFonts w:ascii="宋体" w:hAnsi="宋体" w:cs="宋体"/>
          <w:szCs w:val="21"/>
        </w:rPr>
      </w:pPr>
      <w:r>
        <w:rPr>
          <w:rFonts w:hint="eastAsia" w:ascii="宋体" w:hAnsi="宋体" w:cs="宋体"/>
          <w:szCs w:val="21"/>
        </w:rPr>
        <w:t>（2）公布在投标截止时间前递交投标文件的投标人名称；</w:t>
      </w:r>
    </w:p>
    <w:p>
      <w:pPr>
        <w:spacing w:line="360" w:lineRule="auto"/>
        <w:ind w:firstLine="411" w:firstLineChars="196"/>
        <w:rPr>
          <w:rFonts w:ascii="宋体" w:hAnsi="宋体" w:cs="宋体"/>
          <w:szCs w:val="21"/>
        </w:rPr>
      </w:pPr>
      <w:r>
        <w:rPr>
          <w:rFonts w:hint="eastAsia" w:ascii="宋体" w:hAnsi="宋体" w:cs="宋体"/>
          <w:szCs w:val="21"/>
        </w:rPr>
        <w:t>（3）宣布开标人、唱标人、记录人、监标人等有关人员姓名；</w:t>
      </w:r>
    </w:p>
    <w:p>
      <w:pPr>
        <w:spacing w:line="360" w:lineRule="auto"/>
        <w:ind w:firstLine="411" w:firstLineChars="196"/>
        <w:rPr>
          <w:rFonts w:ascii="宋体" w:hAnsi="宋体" w:cs="宋体"/>
          <w:szCs w:val="21"/>
        </w:rPr>
      </w:pPr>
      <w:r>
        <w:rPr>
          <w:rFonts w:hint="eastAsia" w:ascii="宋体" w:hAnsi="宋体" w:cs="宋体"/>
          <w:szCs w:val="21"/>
        </w:rPr>
        <w:t>（4）检查投标文件的密封情况，按照投标人须知前附表规定的开标顺序当众开标，公布招标项目名称、投标人名称、投标保证金的递交情况、投标报价、交货期、交货地点及其他内容，并记录在案；</w:t>
      </w:r>
    </w:p>
    <w:p>
      <w:pPr>
        <w:spacing w:line="360" w:lineRule="auto"/>
        <w:ind w:firstLine="411" w:firstLineChars="196"/>
        <w:rPr>
          <w:rFonts w:ascii="宋体" w:hAnsi="宋体" w:cs="宋体"/>
          <w:szCs w:val="21"/>
        </w:rPr>
      </w:pPr>
      <w:r>
        <w:rPr>
          <w:rFonts w:hint="eastAsia" w:ascii="宋体" w:hAnsi="宋体" w:cs="宋体"/>
          <w:szCs w:val="21"/>
        </w:rPr>
        <w:t>（5）投标人代表、招标人代表、监标人、记录人等有关人员在开标记录上签字确认；</w:t>
      </w:r>
    </w:p>
    <w:p>
      <w:pPr>
        <w:spacing w:line="360" w:lineRule="auto"/>
        <w:ind w:firstLine="411" w:firstLineChars="196"/>
        <w:rPr>
          <w:rFonts w:ascii="宋体" w:hAnsi="宋体" w:cs="宋体"/>
          <w:szCs w:val="21"/>
        </w:rPr>
      </w:pPr>
      <w:r>
        <w:rPr>
          <w:rFonts w:hint="eastAsia" w:ascii="宋体" w:hAnsi="宋体" w:cs="宋体"/>
          <w:szCs w:val="21"/>
        </w:rPr>
        <w:t>（6）开标结束。</w:t>
      </w:r>
    </w:p>
    <w:p>
      <w:pPr>
        <w:spacing w:line="360" w:lineRule="auto"/>
        <w:ind w:firstLine="411" w:firstLineChars="196"/>
        <w:rPr>
          <w:rFonts w:ascii="宋体" w:hAnsi="宋体" w:cs="宋体"/>
          <w:szCs w:val="21"/>
        </w:rPr>
      </w:pPr>
      <w:r>
        <w:rPr>
          <w:rFonts w:hint="eastAsia" w:ascii="宋体" w:hAnsi="宋体" w:cs="宋体"/>
          <w:szCs w:val="21"/>
        </w:rPr>
        <w:t>5.3 开标异议</w:t>
      </w:r>
    </w:p>
    <w:p>
      <w:pPr>
        <w:spacing w:line="360" w:lineRule="auto"/>
        <w:ind w:firstLine="411" w:firstLineChars="196"/>
        <w:rPr>
          <w:rFonts w:ascii="宋体" w:hAnsi="宋体" w:cs="宋体"/>
          <w:szCs w:val="21"/>
        </w:rPr>
      </w:pPr>
      <w:r>
        <w:rPr>
          <w:rFonts w:hint="eastAsia" w:ascii="宋体" w:hAnsi="宋体" w:cs="宋体"/>
          <w:szCs w:val="21"/>
        </w:rPr>
        <w:t>投标人对开标有异议的，应当在开标现场提出，招标人当场作出答复，并制作记录。</w:t>
      </w:r>
    </w:p>
    <w:p>
      <w:pPr>
        <w:pStyle w:val="5"/>
        <w:keepNext/>
        <w:keepLines/>
        <w:pageBreakBefore w:val="0"/>
        <w:widowControl/>
        <w:kinsoku/>
        <w:wordWrap/>
        <w:overflowPunct/>
        <w:topLinePunct w:val="0"/>
        <w:autoSpaceDE/>
        <w:autoSpaceDN/>
        <w:bidi w:val="0"/>
        <w:adjustRightInd/>
        <w:snapToGrid/>
        <w:spacing w:line="15" w:lineRule="auto"/>
        <w:textAlignment w:val="auto"/>
        <w:rPr>
          <w:rFonts w:hint="eastAsia"/>
          <w:sz w:val="24"/>
          <w:szCs w:val="24"/>
          <w:lang w:val="en-US" w:eastAsia="zh-CN"/>
        </w:rPr>
      </w:pPr>
      <w:r>
        <w:rPr>
          <w:rFonts w:hint="eastAsia"/>
          <w:sz w:val="24"/>
          <w:szCs w:val="24"/>
          <w:lang w:val="en-US" w:eastAsia="zh-CN"/>
        </w:rPr>
        <w:t>6. 评标</w:t>
      </w:r>
    </w:p>
    <w:p>
      <w:pPr>
        <w:spacing w:line="360" w:lineRule="auto"/>
        <w:ind w:firstLine="411" w:firstLineChars="196"/>
        <w:rPr>
          <w:rFonts w:ascii="宋体" w:hAnsi="宋体" w:cs="宋体"/>
          <w:szCs w:val="21"/>
        </w:rPr>
      </w:pPr>
      <w:r>
        <w:rPr>
          <w:rFonts w:hint="eastAsia" w:ascii="宋体" w:hAnsi="宋体" w:cs="宋体"/>
          <w:szCs w:val="21"/>
        </w:rPr>
        <w:t>6.1 评标委员会</w:t>
      </w:r>
    </w:p>
    <w:p>
      <w:pPr>
        <w:spacing w:line="360" w:lineRule="auto"/>
        <w:ind w:firstLine="411" w:firstLineChars="196"/>
        <w:rPr>
          <w:rFonts w:ascii="宋体" w:hAnsi="宋体" w:cs="宋体"/>
          <w:szCs w:val="21"/>
        </w:rPr>
      </w:pPr>
      <w:r>
        <w:rPr>
          <w:rFonts w:hint="eastAsia" w:ascii="宋体" w:hAnsi="宋体" w:cs="宋体"/>
          <w:szCs w:val="21"/>
        </w:rPr>
        <w:t>6.1.1 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pPr>
        <w:spacing w:line="360" w:lineRule="auto"/>
        <w:ind w:firstLine="411" w:firstLineChars="196"/>
        <w:rPr>
          <w:rFonts w:ascii="宋体" w:hAnsi="宋体" w:cs="宋体"/>
          <w:szCs w:val="21"/>
        </w:rPr>
      </w:pPr>
      <w:r>
        <w:rPr>
          <w:rFonts w:hint="eastAsia" w:ascii="宋体" w:hAnsi="宋体" w:cs="宋体"/>
          <w:szCs w:val="21"/>
        </w:rPr>
        <w:t>6.1.2 评标委员会成员有下列情形之一的，应当回避：</w:t>
      </w:r>
    </w:p>
    <w:p>
      <w:pPr>
        <w:spacing w:line="360" w:lineRule="auto"/>
        <w:ind w:firstLine="411" w:firstLineChars="196"/>
        <w:rPr>
          <w:rFonts w:ascii="宋体" w:hAnsi="宋体" w:cs="宋体"/>
          <w:szCs w:val="21"/>
        </w:rPr>
      </w:pPr>
      <w:r>
        <w:rPr>
          <w:rFonts w:hint="eastAsia" w:ascii="宋体" w:hAnsi="宋体" w:cs="宋体"/>
          <w:szCs w:val="21"/>
        </w:rPr>
        <w:t>（1）投标人或投标人主要负责人的近亲属；</w:t>
      </w:r>
    </w:p>
    <w:p>
      <w:pPr>
        <w:spacing w:line="360" w:lineRule="auto"/>
        <w:ind w:firstLine="411" w:firstLineChars="196"/>
        <w:rPr>
          <w:rFonts w:ascii="宋体" w:hAnsi="宋体" w:cs="宋体"/>
          <w:szCs w:val="21"/>
        </w:rPr>
      </w:pPr>
      <w:r>
        <w:rPr>
          <w:rFonts w:hint="eastAsia" w:ascii="宋体" w:hAnsi="宋体" w:cs="宋体"/>
          <w:szCs w:val="21"/>
        </w:rPr>
        <w:t>（2）项目主管部门或者行政监督部门的人员；</w:t>
      </w:r>
    </w:p>
    <w:p>
      <w:pPr>
        <w:spacing w:line="360" w:lineRule="auto"/>
        <w:ind w:firstLine="411" w:firstLineChars="196"/>
        <w:rPr>
          <w:rFonts w:ascii="宋体" w:hAnsi="宋体" w:cs="宋体"/>
          <w:szCs w:val="21"/>
        </w:rPr>
      </w:pPr>
      <w:r>
        <w:rPr>
          <w:rFonts w:hint="eastAsia" w:ascii="宋体" w:hAnsi="宋体" w:cs="宋体"/>
          <w:szCs w:val="21"/>
        </w:rPr>
        <w:t>（3）与投标人有经济利益关系，可能影响对投标公正评审的；</w:t>
      </w:r>
    </w:p>
    <w:p>
      <w:pPr>
        <w:spacing w:line="360" w:lineRule="auto"/>
        <w:ind w:firstLine="411" w:firstLineChars="196"/>
        <w:rPr>
          <w:rFonts w:ascii="宋体" w:hAnsi="宋体" w:cs="宋体"/>
          <w:szCs w:val="21"/>
        </w:rPr>
      </w:pPr>
      <w:r>
        <w:rPr>
          <w:rFonts w:hint="eastAsia" w:ascii="宋体" w:hAnsi="宋体" w:cs="宋体"/>
          <w:szCs w:val="21"/>
        </w:rPr>
        <w:t>（4）曾因在招标、评标以及其他与招标投标有关活动中从事违法行为而受过行政处罚或刑事处罚的；</w:t>
      </w:r>
    </w:p>
    <w:p>
      <w:pPr>
        <w:spacing w:line="360" w:lineRule="auto"/>
        <w:ind w:firstLine="411" w:firstLineChars="196"/>
        <w:rPr>
          <w:rFonts w:ascii="宋体" w:hAnsi="宋体" w:cs="宋体"/>
          <w:szCs w:val="21"/>
        </w:rPr>
      </w:pPr>
      <w:r>
        <w:rPr>
          <w:rFonts w:hint="eastAsia" w:ascii="宋体" w:hAnsi="宋体" w:cs="宋体"/>
          <w:szCs w:val="21"/>
        </w:rPr>
        <w:t>（5）与投标人有其他利害关系。</w:t>
      </w:r>
    </w:p>
    <w:p>
      <w:pPr>
        <w:spacing w:line="360" w:lineRule="auto"/>
        <w:ind w:firstLine="411" w:firstLineChars="196"/>
        <w:rPr>
          <w:rFonts w:ascii="宋体" w:hAnsi="宋体" w:cs="宋体"/>
          <w:szCs w:val="21"/>
        </w:rPr>
      </w:pPr>
      <w:r>
        <w:rPr>
          <w:rFonts w:hint="eastAsia" w:ascii="宋体" w:hAnsi="宋体" w:cs="宋体"/>
          <w:szCs w:val="21"/>
        </w:rPr>
        <w:t>6.1.3 评标过程中，评标委员会成员有回避事由、擅离职守或者因健康等原因不能继续评标的，招标人有权更换。被更换的评标委员会成员作出的评审结论无效，由更换后的评标委员会成员重新进行评审。</w:t>
      </w:r>
    </w:p>
    <w:p>
      <w:pPr>
        <w:spacing w:line="360" w:lineRule="auto"/>
        <w:ind w:firstLine="411" w:firstLineChars="196"/>
        <w:rPr>
          <w:rFonts w:ascii="宋体" w:hAnsi="宋体" w:cs="宋体"/>
          <w:szCs w:val="21"/>
        </w:rPr>
      </w:pPr>
      <w:r>
        <w:rPr>
          <w:rFonts w:hint="eastAsia" w:ascii="宋体" w:hAnsi="宋体" w:cs="宋体"/>
          <w:szCs w:val="21"/>
        </w:rPr>
        <w:t>6.2 评标原则</w:t>
      </w:r>
    </w:p>
    <w:p>
      <w:pPr>
        <w:spacing w:line="360" w:lineRule="auto"/>
        <w:ind w:firstLine="411" w:firstLineChars="196"/>
        <w:rPr>
          <w:rFonts w:ascii="宋体" w:hAnsi="宋体" w:cs="宋体"/>
          <w:szCs w:val="21"/>
        </w:rPr>
      </w:pPr>
      <w:r>
        <w:rPr>
          <w:rFonts w:hint="eastAsia" w:ascii="宋体" w:hAnsi="宋体" w:cs="宋体"/>
          <w:szCs w:val="21"/>
        </w:rPr>
        <w:t>评标活动遵循公平、公正、科学和择优的原则。</w:t>
      </w:r>
    </w:p>
    <w:p>
      <w:pPr>
        <w:spacing w:line="360" w:lineRule="auto"/>
        <w:ind w:firstLine="411" w:firstLineChars="196"/>
        <w:rPr>
          <w:rFonts w:ascii="宋体" w:hAnsi="宋体" w:cs="宋体"/>
          <w:szCs w:val="21"/>
        </w:rPr>
      </w:pPr>
      <w:r>
        <w:rPr>
          <w:rFonts w:hint="eastAsia" w:ascii="宋体" w:hAnsi="宋体" w:cs="宋体"/>
          <w:szCs w:val="21"/>
        </w:rPr>
        <w:t>6.3 评标</w:t>
      </w:r>
    </w:p>
    <w:p>
      <w:pPr>
        <w:spacing w:line="360" w:lineRule="auto"/>
        <w:ind w:firstLine="411" w:firstLineChars="196"/>
        <w:rPr>
          <w:rFonts w:ascii="宋体" w:hAnsi="宋体" w:cs="宋体"/>
          <w:szCs w:val="21"/>
        </w:rPr>
      </w:pPr>
      <w:r>
        <w:rPr>
          <w:rFonts w:hint="eastAsia" w:ascii="宋体" w:hAnsi="宋体" w:cs="宋体"/>
          <w:szCs w:val="21"/>
        </w:rPr>
        <w:t>6.3.1 评标委员会按照第三章“评标办法”规定的方法、评审因素、标准和程序对投标文件进行评审。第三章“评标办法”没有规定的方法、评审因素和标准，不作为评标依据。</w:t>
      </w:r>
    </w:p>
    <w:p>
      <w:pPr>
        <w:spacing w:line="360" w:lineRule="auto"/>
        <w:ind w:firstLine="411" w:firstLineChars="196"/>
        <w:rPr>
          <w:rFonts w:ascii="宋体" w:hAnsi="宋体" w:cs="宋体"/>
          <w:szCs w:val="21"/>
        </w:rPr>
      </w:pPr>
      <w:r>
        <w:rPr>
          <w:rFonts w:hint="eastAsia" w:ascii="宋体" w:hAnsi="宋体" w:cs="宋体"/>
          <w:szCs w:val="21"/>
        </w:rPr>
        <w:t>6.3.2 评标完成后，评标委员会应当向招标人提交书面评标报告和中标候选人名单。评标委员会推荐中标候选人的人数见投标人须知前附表。</w:t>
      </w:r>
    </w:p>
    <w:p>
      <w:pPr>
        <w:pStyle w:val="5"/>
        <w:keepNext/>
        <w:keepLines/>
        <w:pageBreakBefore w:val="0"/>
        <w:widowControl/>
        <w:kinsoku/>
        <w:wordWrap/>
        <w:overflowPunct/>
        <w:topLinePunct w:val="0"/>
        <w:autoSpaceDE/>
        <w:autoSpaceDN/>
        <w:bidi w:val="0"/>
        <w:adjustRightInd/>
        <w:snapToGrid/>
        <w:spacing w:line="15" w:lineRule="auto"/>
        <w:textAlignment w:val="auto"/>
        <w:rPr>
          <w:rFonts w:hint="eastAsia"/>
          <w:sz w:val="24"/>
          <w:szCs w:val="24"/>
          <w:lang w:val="en-US" w:eastAsia="zh-CN"/>
        </w:rPr>
      </w:pPr>
      <w:r>
        <w:rPr>
          <w:rFonts w:hint="eastAsia"/>
          <w:sz w:val="24"/>
          <w:szCs w:val="24"/>
          <w:lang w:val="en-US" w:eastAsia="zh-CN"/>
        </w:rPr>
        <w:t>7. 合同授予</w:t>
      </w:r>
    </w:p>
    <w:p>
      <w:pPr>
        <w:spacing w:line="360" w:lineRule="auto"/>
        <w:ind w:firstLine="411" w:firstLineChars="196"/>
        <w:rPr>
          <w:rFonts w:ascii="宋体" w:hAnsi="宋体" w:cs="宋体"/>
          <w:szCs w:val="21"/>
        </w:rPr>
      </w:pPr>
      <w:r>
        <w:rPr>
          <w:rFonts w:hint="eastAsia" w:ascii="宋体" w:hAnsi="宋体" w:cs="宋体"/>
          <w:szCs w:val="21"/>
        </w:rPr>
        <w:t>7.1 中标候选人公示</w:t>
      </w:r>
    </w:p>
    <w:p>
      <w:pPr>
        <w:spacing w:line="360" w:lineRule="auto"/>
        <w:ind w:firstLine="411" w:firstLineChars="196"/>
        <w:rPr>
          <w:rFonts w:ascii="宋体" w:hAnsi="宋体" w:cs="宋体"/>
          <w:szCs w:val="21"/>
        </w:rPr>
      </w:pPr>
      <w:r>
        <w:rPr>
          <w:rFonts w:hint="eastAsia" w:ascii="宋体" w:hAnsi="宋体" w:cs="宋体"/>
          <w:szCs w:val="21"/>
        </w:rPr>
        <w:t>招标人在收到评标报告之日起 3 日内，按照投标人须知前附表规定的公示媒介和期限公示中标候选人，公示期不得少于 3 天。</w:t>
      </w:r>
    </w:p>
    <w:p>
      <w:pPr>
        <w:spacing w:line="360" w:lineRule="auto"/>
        <w:ind w:firstLine="411" w:firstLineChars="196"/>
        <w:rPr>
          <w:rFonts w:ascii="宋体" w:hAnsi="宋体" w:cs="宋体"/>
          <w:szCs w:val="21"/>
        </w:rPr>
      </w:pPr>
      <w:r>
        <w:rPr>
          <w:rFonts w:hint="eastAsia" w:ascii="宋体" w:hAnsi="宋体" w:cs="宋体"/>
          <w:szCs w:val="21"/>
        </w:rPr>
        <w:t>7.2 评标结果异议</w:t>
      </w:r>
    </w:p>
    <w:p>
      <w:pPr>
        <w:spacing w:line="360" w:lineRule="auto"/>
        <w:ind w:firstLine="411" w:firstLineChars="196"/>
        <w:rPr>
          <w:rFonts w:ascii="宋体" w:hAnsi="宋体" w:cs="宋体"/>
          <w:szCs w:val="21"/>
        </w:rPr>
      </w:pPr>
      <w:r>
        <w:rPr>
          <w:rFonts w:hint="eastAsia" w:ascii="宋体" w:hAnsi="宋体" w:cs="宋体"/>
          <w:szCs w:val="21"/>
        </w:rPr>
        <w:t>投标人或者其他利害关系人对评标结果有异议的，应当在中标候选人公示期间提出。招标人将在收到异议之日起 3 日内作出答复；作出答复前，将暂停招标投标活动。</w:t>
      </w:r>
    </w:p>
    <w:p>
      <w:pPr>
        <w:spacing w:line="360" w:lineRule="auto"/>
        <w:ind w:firstLine="411" w:firstLineChars="196"/>
        <w:rPr>
          <w:rFonts w:ascii="宋体" w:hAnsi="宋体" w:cs="宋体"/>
          <w:szCs w:val="21"/>
        </w:rPr>
      </w:pPr>
      <w:r>
        <w:rPr>
          <w:rFonts w:hint="eastAsia" w:ascii="宋体" w:hAnsi="宋体" w:cs="宋体"/>
          <w:szCs w:val="21"/>
        </w:rPr>
        <w:t>7.3 中标候选人履约能力审查</w:t>
      </w:r>
    </w:p>
    <w:p>
      <w:pPr>
        <w:spacing w:line="360" w:lineRule="auto"/>
        <w:ind w:firstLine="411" w:firstLineChars="196"/>
        <w:rPr>
          <w:rFonts w:ascii="宋体" w:hAnsi="宋体" w:cs="宋体"/>
          <w:szCs w:val="21"/>
        </w:rPr>
      </w:pPr>
      <w:r>
        <w:rPr>
          <w:rFonts w:hint="eastAsia" w:ascii="宋体" w:hAnsi="宋体" w:cs="宋体"/>
          <w:szCs w:val="21"/>
        </w:rPr>
        <w:t>中标候选人的经营、财务状况发生较大变化或存在违法行为，招标人认为可能影响其履约能力的，将在发出中标通知书前提请原评标委员会按照招标文件规定的标准和方法进行审查确认。</w:t>
      </w:r>
    </w:p>
    <w:p>
      <w:pPr>
        <w:spacing w:line="360" w:lineRule="auto"/>
        <w:ind w:firstLine="411" w:firstLineChars="196"/>
        <w:rPr>
          <w:rFonts w:ascii="宋体" w:hAnsi="宋体" w:cs="宋体"/>
          <w:szCs w:val="21"/>
        </w:rPr>
      </w:pPr>
      <w:r>
        <w:rPr>
          <w:rFonts w:hint="eastAsia" w:ascii="宋体" w:hAnsi="宋体" w:cs="宋体"/>
          <w:szCs w:val="21"/>
        </w:rPr>
        <w:t>7.4 定标</w:t>
      </w:r>
    </w:p>
    <w:p>
      <w:pPr>
        <w:spacing w:line="360" w:lineRule="auto"/>
        <w:ind w:firstLine="411" w:firstLineChars="196"/>
        <w:rPr>
          <w:rFonts w:ascii="宋体" w:hAnsi="宋体" w:cs="宋体"/>
          <w:szCs w:val="21"/>
        </w:rPr>
      </w:pPr>
      <w:r>
        <w:rPr>
          <w:rFonts w:hint="eastAsia" w:ascii="宋体" w:hAnsi="宋体" w:cs="宋体"/>
          <w:szCs w:val="21"/>
        </w:rPr>
        <w:t>按照投标人须知前附表的规定，招标人或招标人授权的评标委员会依法确定中标人。</w:t>
      </w:r>
    </w:p>
    <w:p>
      <w:pPr>
        <w:spacing w:line="360" w:lineRule="auto"/>
        <w:ind w:firstLine="411" w:firstLineChars="196"/>
        <w:rPr>
          <w:rFonts w:ascii="宋体" w:hAnsi="宋体" w:cs="宋体"/>
          <w:szCs w:val="21"/>
        </w:rPr>
      </w:pPr>
      <w:r>
        <w:rPr>
          <w:rFonts w:hint="eastAsia" w:ascii="宋体" w:hAnsi="宋体" w:cs="宋体"/>
          <w:szCs w:val="21"/>
        </w:rPr>
        <w:t>7.5 中标通知</w:t>
      </w:r>
    </w:p>
    <w:p>
      <w:pPr>
        <w:spacing w:line="360" w:lineRule="auto"/>
        <w:ind w:firstLine="411" w:firstLineChars="196"/>
        <w:rPr>
          <w:rFonts w:ascii="宋体" w:hAnsi="宋体" w:cs="宋体"/>
          <w:szCs w:val="21"/>
        </w:rPr>
      </w:pPr>
      <w:r>
        <w:rPr>
          <w:rFonts w:hint="eastAsia" w:ascii="宋体" w:hAnsi="宋体" w:cs="宋体"/>
          <w:szCs w:val="21"/>
        </w:rPr>
        <w:t>在本章第 3.3 款规定的投标有效期内，招标人以书面形式向中标人发出中标通知书，同时将中标结果通知未中标的投标人。</w:t>
      </w:r>
    </w:p>
    <w:p>
      <w:pPr>
        <w:spacing w:line="360" w:lineRule="auto"/>
        <w:ind w:firstLine="411" w:firstLineChars="196"/>
        <w:rPr>
          <w:rFonts w:ascii="宋体" w:hAnsi="宋体" w:cs="宋体"/>
          <w:szCs w:val="21"/>
        </w:rPr>
      </w:pPr>
      <w:r>
        <w:rPr>
          <w:rFonts w:hint="eastAsia" w:ascii="宋体" w:hAnsi="宋体" w:cs="宋体"/>
          <w:szCs w:val="21"/>
        </w:rPr>
        <w:t>7.6 履约保证金</w:t>
      </w:r>
    </w:p>
    <w:p>
      <w:pPr>
        <w:spacing w:line="360" w:lineRule="auto"/>
        <w:ind w:firstLine="411" w:firstLineChars="196"/>
        <w:rPr>
          <w:rFonts w:ascii="宋体" w:hAnsi="宋体" w:cs="宋体"/>
          <w:szCs w:val="21"/>
        </w:rPr>
      </w:pPr>
      <w:r>
        <w:rPr>
          <w:rFonts w:hint="eastAsia" w:ascii="宋体" w:hAnsi="宋体" w:cs="宋体"/>
          <w:szCs w:val="21"/>
        </w:rPr>
        <w:t>7.6.1 在签订合同前，中标人应按投标人须知前附表规定的形式、金额和招标文件第四章“合同条款及格式”规定的或者事先经过招标人书面认可的履约保证金格式向招标人提交履约保证金。除投标人须知前附表另有规定外，履约保证金为中标合同金额的10%。联合体中标的，其履约保证金以联合体各方或者联合体中牵头人的名义提交。</w:t>
      </w:r>
    </w:p>
    <w:p>
      <w:pPr>
        <w:spacing w:line="360" w:lineRule="auto"/>
        <w:ind w:firstLine="411" w:firstLineChars="196"/>
        <w:rPr>
          <w:rFonts w:ascii="宋体" w:hAnsi="宋体" w:cs="宋体"/>
          <w:szCs w:val="21"/>
        </w:rPr>
      </w:pPr>
      <w:r>
        <w:rPr>
          <w:rFonts w:hint="eastAsia" w:ascii="宋体" w:hAnsi="宋体" w:cs="宋体"/>
          <w:szCs w:val="21"/>
        </w:rPr>
        <w:t>7.6.2 中标人不能按本章第7.6.1项要求提交履约保证金的，视为放弃中标，其投标保证金不予退还，给招标人造成的损失超过投标保证金数额的，中标人还应当对超过部分予以赔偿。</w:t>
      </w:r>
    </w:p>
    <w:p>
      <w:pPr>
        <w:spacing w:line="360" w:lineRule="auto"/>
        <w:ind w:firstLine="411" w:firstLineChars="196"/>
        <w:rPr>
          <w:rFonts w:ascii="宋体" w:hAnsi="宋体" w:cs="宋体"/>
          <w:szCs w:val="21"/>
        </w:rPr>
      </w:pPr>
      <w:r>
        <w:rPr>
          <w:rFonts w:hint="eastAsia" w:ascii="宋体" w:hAnsi="宋体" w:cs="宋体"/>
          <w:szCs w:val="21"/>
        </w:rPr>
        <w:t>7.7 签订合同</w:t>
      </w:r>
    </w:p>
    <w:p>
      <w:pPr>
        <w:spacing w:line="360" w:lineRule="auto"/>
        <w:ind w:firstLine="411" w:firstLineChars="196"/>
        <w:rPr>
          <w:rFonts w:ascii="宋体" w:hAnsi="宋体" w:cs="宋体"/>
          <w:szCs w:val="21"/>
        </w:rPr>
      </w:pPr>
      <w:r>
        <w:rPr>
          <w:rFonts w:hint="eastAsia" w:ascii="宋体" w:hAnsi="宋体" w:cs="宋体"/>
          <w:szCs w:val="21"/>
        </w:rPr>
        <w:t>7.7.1 招标人和中标人应当在中标通知书发出之日起 30 日内，根据招标文件和中标人的投标文件订立书面合同。中标人无正当理由拒签合同，在签订合同时向招标人提出附加条件，或者不按照招标文件要求提交履约保证金的，招标人有权取消其中标资格，其投标保证金不予退还；给招标人造成的损失超过投标保证金数额的，中标人还应当对超过部分予以赔偿。</w:t>
      </w:r>
    </w:p>
    <w:p>
      <w:pPr>
        <w:spacing w:line="360" w:lineRule="auto"/>
        <w:ind w:firstLine="411" w:firstLineChars="196"/>
        <w:rPr>
          <w:rFonts w:ascii="宋体" w:hAnsi="宋体" w:cs="宋体"/>
          <w:szCs w:val="21"/>
        </w:rPr>
      </w:pPr>
      <w:r>
        <w:rPr>
          <w:rFonts w:hint="eastAsia" w:ascii="宋体" w:hAnsi="宋体" w:cs="宋体"/>
          <w:szCs w:val="21"/>
        </w:rPr>
        <w:t>7.7.2 发出中标通知书后，招标人无正当理由拒签合同，或者在签订合同时向中标人提出附加条件的，招标人向中标人退还投标保证金；给中标人造成损失的，还应当赔偿损失。</w:t>
      </w:r>
    </w:p>
    <w:p>
      <w:pPr>
        <w:spacing w:line="360" w:lineRule="auto"/>
        <w:ind w:firstLine="411" w:firstLineChars="196"/>
        <w:rPr>
          <w:rFonts w:ascii="宋体" w:hAnsi="宋体" w:cs="宋体"/>
          <w:szCs w:val="21"/>
        </w:rPr>
      </w:pPr>
      <w:r>
        <w:rPr>
          <w:rFonts w:hint="eastAsia" w:ascii="宋体" w:hAnsi="宋体" w:cs="宋体"/>
          <w:szCs w:val="21"/>
        </w:rPr>
        <w:t>7.7.3 联合体中标的，联合体各方应当共同与招标人签订合同，就中标项目向招标人承担连带责任。</w:t>
      </w:r>
    </w:p>
    <w:p>
      <w:pPr>
        <w:pStyle w:val="5"/>
        <w:keepNext/>
        <w:keepLines/>
        <w:pageBreakBefore w:val="0"/>
        <w:widowControl/>
        <w:kinsoku/>
        <w:wordWrap/>
        <w:overflowPunct/>
        <w:topLinePunct w:val="0"/>
        <w:autoSpaceDE/>
        <w:autoSpaceDN/>
        <w:bidi w:val="0"/>
        <w:adjustRightInd/>
        <w:snapToGrid/>
        <w:spacing w:line="15" w:lineRule="auto"/>
        <w:textAlignment w:val="auto"/>
        <w:rPr>
          <w:rFonts w:hint="eastAsia"/>
          <w:sz w:val="24"/>
          <w:szCs w:val="24"/>
          <w:lang w:val="en-US" w:eastAsia="zh-CN"/>
        </w:rPr>
      </w:pPr>
      <w:r>
        <w:rPr>
          <w:rFonts w:hint="eastAsia"/>
          <w:sz w:val="24"/>
          <w:szCs w:val="24"/>
          <w:lang w:val="en-US" w:eastAsia="zh-CN"/>
        </w:rPr>
        <w:t>8.纪律和监督</w:t>
      </w:r>
    </w:p>
    <w:p>
      <w:pPr>
        <w:spacing w:line="360" w:lineRule="auto"/>
        <w:ind w:firstLine="411" w:firstLineChars="196"/>
        <w:rPr>
          <w:rFonts w:ascii="宋体" w:hAnsi="宋体" w:cs="宋体"/>
          <w:szCs w:val="21"/>
        </w:rPr>
      </w:pPr>
      <w:r>
        <w:rPr>
          <w:rFonts w:hint="eastAsia" w:ascii="宋体" w:hAnsi="宋体" w:cs="宋体"/>
          <w:szCs w:val="21"/>
        </w:rPr>
        <w:t>8.1 对招标人的纪律要求</w:t>
      </w:r>
    </w:p>
    <w:p>
      <w:pPr>
        <w:spacing w:line="360" w:lineRule="auto"/>
        <w:ind w:firstLine="411" w:firstLineChars="196"/>
        <w:rPr>
          <w:rFonts w:ascii="宋体" w:hAnsi="宋体" w:cs="宋体"/>
          <w:szCs w:val="21"/>
        </w:rPr>
      </w:pPr>
      <w:r>
        <w:rPr>
          <w:rFonts w:hint="eastAsia" w:ascii="宋体" w:hAnsi="宋体" w:cs="宋体"/>
          <w:szCs w:val="21"/>
        </w:rPr>
        <w:t>招标人不得泄露招标投标活动中应当保密的情况和资料，不得与投标人串通损害国家利益、社会公共利益或者他人合法权益。</w:t>
      </w:r>
    </w:p>
    <w:p>
      <w:pPr>
        <w:spacing w:line="360" w:lineRule="auto"/>
        <w:ind w:firstLine="411" w:firstLineChars="196"/>
        <w:rPr>
          <w:rFonts w:ascii="宋体" w:hAnsi="宋体" w:cs="宋体"/>
          <w:szCs w:val="21"/>
        </w:rPr>
      </w:pPr>
      <w:r>
        <w:rPr>
          <w:rFonts w:hint="eastAsia" w:ascii="宋体" w:hAnsi="宋体" w:cs="宋体"/>
          <w:szCs w:val="21"/>
        </w:rPr>
        <w:t>8.2 对投标人的纪律要求</w:t>
      </w:r>
    </w:p>
    <w:p>
      <w:pPr>
        <w:spacing w:line="360" w:lineRule="auto"/>
        <w:ind w:firstLine="411" w:firstLineChars="196"/>
        <w:rPr>
          <w:rFonts w:ascii="宋体" w:hAnsi="宋体" w:cs="宋体"/>
          <w:szCs w:val="21"/>
        </w:rPr>
      </w:pPr>
      <w:r>
        <w:rPr>
          <w:rFonts w:hint="eastAsia" w:ascii="宋体" w:hAnsi="宋体" w:cs="宋体"/>
          <w:szCs w:val="21"/>
        </w:rPr>
        <w:t>投标人不得相互串通投标或者与招标人串通投标，不得向招标人或者评标委员会成员行贿谋取中标，不得以他人名义投标或者以其他方式弄虚作假骗取中标；投标人不得以任何方式干扰、影响评标工作。</w:t>
      </w:r>
    </w:p>
    <w:p>
      <w:pPr>
        <w:spacing w:line="360" w:lineRule="auto"/>
        <w:ind w:firstLine="411" w:firstLineChars="196"/>
        <w:rPr>
          <w:rFonts w:ascii="宋体" w:hAnsi="宋体" w:cs="宋体"/>
          <w:szCs w:val="21"/>
        </w:rPr>
      </w:pPr>
      <w:r>
        <w:rPr>
          <w:rFonts w:hint="eastAsia" w:ascii="宋体" w:hAnsi="宋体" w:cs="宋体"/>
          <w:szCs w:val="21"/>
        </w:rPr>
        <w:t>8.3 对评标委员会成员的纪律要求</w:t>
      </w:r>
    </w:p>
    <w:p>
      <w:pPr>
        <w:spacing w:line="360" w:lineRule="auto"/>
        <w:ind w:firstLine="411" w:firstLineChars="196"/>
        <w:rPr>
          <w:rFonts w:ascii="宋体" w:hAnsi="宋体" w:cs="宋体"/>
          <w:szCs w:val="21"/>
        </w:rPr>
      </w:pPr>
      <w:r>
        <w:rPr>
          <w:rFonts w:hint="eastAsia" w:ascii="宋体" w:hAnsi="宋体" w:cs="宋体"/>
          <w:szCs w:val="21"/>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pPr>
        <w:spacing w:line="360" w:lineRule="auto"/>
        <w:ind w:firstLine="411" w:firstLineChars="196"/>
        <w:rPr>
          <w:rFonts w:ascii="宋体" w:hAnsi="宋体" w:cs="宋体"/>
          <w:szCs w:val="21"/>
        </w:rPr>
      </w:pPr>
      <w:r>
        <w:rPr>
          <w:rFonts w:hint="eastAsia" w:ascii="宋体" w:hAnsi="宋体" w:cs="宋体"/>
          <w:szCs w:val="21"/>
        </w:rPr>
        <w:t>8.4 对与评标活动有关的工作人员的纪律要求</w:t>
      </w:r>
    </w:p>
    <w:p>
      <w:pPr>
        <w:spacing w:line="360" w:lineRule="auto"/>
        <w:ind w:firstLine="411" w:firstLineChars="196"/>
        <w:rPr>
          <w:rFonts w:ascii="宋体" w:hAnsi="宋体" w:cs="宋体"/>
          <w:szCs w:val="21"/>
        </w:rPr>
      </w:pPr>
      <w:r>
        <w:rPr>
          <w:rFonts w:hint="eastAsia" w:ascii="宋体" w:hAnsi="宋体" w:cs="宋体"/>
          <w:szCs w:val="21"/>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pPr>
        <w:spacing w:line="360" w:lineRule="auto"/>
        <w:ind w:firstLine="411" w:firstLineChars="196"/>
        <w:rPr>
          <w:rFonts w:ascii="宋体" w:hAnsi="宋体" w:cs="宋体"/>
          <w:szCs w:val="21"/>
        </w:rPr>
      </w:pPr>
      <w:r>
        <w:rPr>
          <w:rFonts w:hint="eastAsia" w:ascii="宋体" w:hAnsi="宋体" w:cs="宋体"/>
          <w:szCs w:val="21"/>
        </w:rPr>
        <w:t>8.5 投诉</w:t>
      </w:r>
    </w:p>
    <w:p>
      <w:pPr>
        <w:spacing w:line="360" w:lineRule="auto"/>
        <w:ind w:firstLine="411" w:firstLineChars="196"/>
        <w:rPr>
          <w:rFonts w:ascii="宋体" w:hAnsi="宋体" w:cs="宋体"/>
          <w:szCs w:val="21"/>
        </w:rPr>
      </w:pPr>
      <w:r>
        <w:rPr>
          <w:rFonts w:hint="eastAsia" w:ascii="宋体" w:hAnsi="宋体" w:cs="宋体"/>
          <w:szCs w:val="21"/>
        </w:rPr>
        <w:t>8.5.1 投标人或者其他利害关系人认为招标投标活动不符合法律、行政法规规定的，可以自知道或者应当知道之日起 10 日内向有关行政监督部门投诉。投诉应当有明确的请求和必要的证明材料。</w:t>
      </w:r>
    </w:p>
    <w:p>
      <w:pPr>
        <w:spacing w:line="360" w:lineRule="auto"/>
        <w:ind w:firstLine="411" w:firstLineChars="196"/>
        <w:rPr>
          <w:rFonts w:ascii="宋体" w:hAnsi="宋体" w:cs="宋体"/>
          <w:szCs w:val="21"/>
        </w:rPr>
      </w:pPr>
      <w:r>
        <w:rPr>
          <w:rFonts w:hint="eastAsia" w:ascii="宋体" w:hAnsi="宋体" w:cs="宋体"/>
          <w:szCs w:val="21"/>
        </w:rPr>
        <w:t>8.5.2 投标人或者其他利害关系人对招标文件、开标和评标结果提出投诉的，应当按照投标人须知第2.4款、第5.3款和第7.2款的规定先向招标人提出异议。异议答复期间不计算在第8.5.1项规定的期限内。</w:t>
      </w:r>
    </w:p>
    <w:p>
      <w:pPr>
        <w:pStyle w:val="5"/>
        <w:keepNext/>
        <w:keepLines/>
        <w:pageBreakBefore w:val="0"/>
        <w:widowControl/>
        <w:kinsoku/>
        <w:wordWrap/>
        <w:overflowPunct/>
        <w:topLinePunct w:val="0"/>
        <w:autoSpaceDE/>
        <w:autoSpaceDN/>
        <w:bidi w:val="0"/>
        <w:adjustRightInd/>
        <w:snapToGrid/>
        <w:spacing w:line="15" w:lineRule="auto"/>
        <w:textAlignment w:val="auto"/>
        <w:rPr>
          <w:rFonts w:hint="eastAsia"/>
          <w:sz w:val="24"/>
          <w:szCs w:val="24"/>
          <w:lang w:val="en-US" w:eastAsia="zh-CN"/>
        </w:rPr>
      </w:pPr>
      <w:r>
        <w:rPr>
          <w:rFonts w:hint="eastAsia"/>
          <w:sz w:val="24"/>
          <w:szCs w:val="24"/>
          <w:lang w:val="en-US" w:eastAsia="zh-CN"/>
        </w:rPr>
        <w:t>9. 是否采用电子招标投标</w:t>
      </w:r>
    </w:p>
    <w:p>
      <w:pPr>
        <w:spacing w:line="360" w:lineRule="auto"/>
        <w:ind w:firstLine="411" w:firstLineChars="196"/>
        <w:rPr>
          <w:rFonts w:ascii="宋体" w:hAnsi="宋体" w:cs="宋体"/>
          <w:szCs w:val="21"/>
        </w:rPr>
      </w:pPr>
      <w:r>
        <w:rPr>
          <w:rFonts w:hint="eastAsia" w:ascii="宋体" w:hAnsi="宋体" w:cs="宋体"/>
          <w:szCs w:val="21"/>
        </w:rPr>
        <w:t>本招标项目是否采用电子招标投标方式，见投标人须知前附表。</w:t>
      </w:r>
    </w:p>
    <w:p>
      <w:pPr>
        <w:pStyle w:val="5"/>
        <w:keepNext/>
        <w:keepLines/>
        <w:pageBreakBefore w:val="0"/>
        <w:widowControl/>
        <w:kinsoku/>
        <w:wordWrap/>
        <w:overflowPunct/>
        <w:topLinePunct w:val="0"/>
        <w:autoSpaceDE/>
        <w:autoSpaceDN/>
        <w:bidi w:val="0"/>
        <w:adjustRightInd/>
        <w:snapToGrid/>
        <w:spacing w:line="15" w:lineRule="auto"/>
        <w:textAlignment w:val="auto"/>
        <w:rPr>
          <w:rFonts w:hint="eastAsia"/>
          <w:sz w:val="24"/>
          <w:szCs w:val="24"/>
          <w:lang w:val="en-US" w:eastAsia="zh-CN"/>
        </w:rPr>
      </w:pPr>
      <w:r>
        <w:rPr>
          <w:rFonts w:hint="eastAsia"/>
          <w:sz w:val="24"/>
          <w:szCs w:val="24"/>
          <w:lang w:val="en-US" w:eastAsia="zh-CN"/>
        </w:rPr>
        <w:t>10. 需要补充的其他内容</w:t>
      </w:r>
    </w:p>
    <w:p>
      <w:pPr>
        <w:adjustRightInd w:val="0"/>
        <w:snapToGrid w:val="0"/>
        <w:spacing w:line="360" w:lineRule="auto"/>
        <w:ind w:firstLine="420" w:firstLineChars="200"/>
        <w:jc w:val="left"/>
        <w:rPr>
          <w:rFonts w:ascii="宋体" w:hAnsi="宋体"/>
          <w:szCs w:val="21"/>
        </w:rPr>
      </w:pPr>
      <w:r>
        <w:rPr>
          <w:rFonts w:hint="eastAsia" w:ascii="宋体" w:hAnsi="宋体" w:cs="宋体"/>
          <w:szCs w:val="21"/>
        </w:rPr>
        <w:t>需要补充的其他内容：见投标人须知前附表。</w:t>
      </w:r>
    </w:p>
    <w:p>
      <w:pPr>
        <w:adjustRightInd w:val="0"/>
        <w:snapToGrid w:val="0"/>
        <w:spacing w:line="360" w:lineRule="auto"/>
        <w:ind w:firstLine="420" w:firstLineChars="200"/>
        <w:jc w:val="left"/>
        <w:rPr>
          <w:rFonts w:ascii="宋体" w:hAnsi="宋体"/>
          <w:szCs w:val="21"/>
        </w:rPr>
      </w:pPr>
    </w:p>
    <w:p>
      <w:pPr>
        <w:spacing w:line="200" w:lineRule="exact"/>
        <w:jc w:val="left"/>
        <w:rPr>
          <w:rFonts w:ascii="宋体" w:hAnsi="宋体"/>
          <w:sz w:val="24"/>
        </w:rPr>
      </w:pPr>
    </w:p>
    <w:p>
      <w:pPr>
        <w:spacing w:line="200" w:lineRule="exact"/>
        <w:jc w:val="left"/>
        <w:rPr>
          <w:rFonts w:ascii="宋体" w:hAnsi="宋体"/>
          <w:sz w:val="24"/>
        </w:rPr>
      </w:pPr>
    </w:p>
    <w:p>
      <w:pPr>
        <w:spacing w:line="200" w:lineRule="exact"/>
        <w:jc w:val="left"/>
        <w:rPr>
          <w:rFonts w:ascii="宋体" w:hAnsi="宋体"/>
          <w:sz w:val="24"/>
        </w:rPr>
      </w:pPr>
    </w:p>
    <w:p>
      <w:pPr>
        <w:spacing w:line="200" w:lineRule="exact"/>
        <w:jc w:val="left"/>
        <w:rPr>
          <w:rFonts w:ascii="宋体" w:hAnsi="宋体"/>
          <w:sz w:val="24"/>
        </w:rPr>
      </w:pPr>
    </w:p>
    <w:p>
      <w:pPr>
        <w:pStyle w:val="4"/>
        <w:spacing w:before="0" w:after="0" w:line="500" w:lineRule="exact"/>
        <w:rPr>
          <w:sz w:val="24"/>
        </w:rPr>
      </w:pPr>
      <w:r>
        <w:rPr>
          <w:rFonts w:hint="eastAsia" w:ascii="宋体" w:hAnsi="宋体"/>
          <w:sz w:val="28"/>
        </w:rPr>
        <w:br w:type="page"/>
      </w:r>
      <w:bookmarkStart w:id="7" w:name="_Toc31791877"/>
      <w:r>
        <w:rPr>
          <w:rFonts w:hint="eastAsia" w:ascii="宋体" w:hAnsi="宋体"/>
          <w:sz w:val="28"/>
        </w:rPr>
        <w:t>附件一：开标记录表</w:t>
      </w:r>
      <w:bookmarkEnd w:id="7"/>
    </w:p>
    <w:p>
      <w:pPr>
        <w:spacing w:line="500" w:lineRule="exact"/>
        <w:jc w:val="center"/>
        <w:rPr>
          <w:rFonts w:ascii="宋体" w:hAnsi="宋体"/>
          <w:b/>
          <w:sz w:val="28"/>
        </w:rPr>
      </w:pPr>
      <w:r>
        <w:rPr>
          <w:rFonts w:hint="eastAsia" w:ascii="宋体" w:hAnsi="宋体"/>
          <w:b/>
          <w:sz w:val="28"/>
        </w:rPr>
        <w:t>开标记录表</w:t>
      </w:r>
    </w:p>
    <w:p>
      <w:pPr>
        <w:spacing w:line="440" w:lineRule="exact"/>
        <w:jc w:val="center"/>
        <w:rPr>
          <w:rFonts w:ascii="宋体" w:hAnsi="宋体"/>
        </w:rPr>
      </w:pPr>
      <w:r>
        <w:rPr>
          <w:rFonts w:hint="eastAsia" w:ascii="宋体" w:hAnsi="宋体"/>
        </w:rPr>
        <w:t>开标时间：    年    月   日    时    分</w:t>
      </w:r>
    </w:p>
    <w:tbl>
      <w:tblPr>
        <w:tblStyle w:val="68"/>
        <w:tblW w:w="962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96"/>
        <w:gridCol w:w="1195"/>
        <w:gridCol w:w="1195"/>
        <w:gridCol w:w="1649"/>
        <w:gridCol w:w="1489"/>
        <w:gridCol w:w="1195"/>
        <w:gridCol w:w="170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7" w:hRule="atLeast"/>
          <w:jc w:val="center"/>
        </w:trPr>
        <w:tc>
          <w:tcPr>
            <w:tcW w:w="1196" w:type="dxa"/>
            <w:vAlign w:val="center"/>
          </w:tcPr>
          <w:p>
            <w:pPr>
              <w:widowControl w:val="0"/>
              <w:spacing w:line="239" w:lineRule="auto"/>
              <w:jc w:val="center"/>
              <w:rPr>
                <w:rFonts w:ascii="宋体" w:hAnsi="宋体"/>
                <w:szCs w:val="21"/>
              </w:rPr>
            </w:pPr>
            <w:r>
              <w:rPr>
                <w:rFonts w:hint="eastAsia" w:ascii="宋体" w:hAnsi="宋体"/>
                <w:szCs w:val="21"/>
              </w:rPr>
              <w:t>序号</w:t>
            </w:r>
          </w:p>
        </w:tc>
        <w:tc>
          <w:tcPr>
            <w:tcW w:w="1195" w:type="dxa"/>
            <w:vAlign w:val="center"/>
          </w:tcPr>
          <w:p>
            <w:pPr>
              <w:widowControl w:val="0"/>
              <w:spacing w:line="239" w:lineRule="auto"/>
              <w:jc w:val="center"/>
              <w:rPr>
                <w:rFonts w:ascii="宋体" w:hAnsi="宋体"/>
                <w:szCs w:val="21"/>
              </w:rPr>
            </w:pPr>
            <w:r>
              <w:rPr>
                <w:rFonts w:hint="eastAsia" w:ascii="宋体" w:hAnsi="宋体"/>
                <w:szCs w:val="21"/>
              </w:rPr>
              <w:t>投标人</w:t>
            </w:r>
          </w:p>
        </w:tc>
        <w:tc>
          <w:tcPr>
            <w:tcW w:w="1195" w:type="dxa"/>
            <w:vAlign w:val="center"/>
          </w:tcPr>
          <w:p>
            <w:pPr>
              <w:widowControl w:val="0"/>
              <w:spacing w:line="239" w:lineRule="auto"/>
              <w:jc w:val="center"/>
              <w:rPr>
                <w:rFonts w:ascii="宋体" w:hAnsi="宋体"/>
                <w:szCs w:val="21"/>
              </w:rPr>
            </w:pPr>
            <w:r>
              <w:rPr>
                <w:rFonts w:hint="eastAsia" w:ascii="宋体" w:hAnsi="宋体"/>
                <w:szCs w:val="21"/>
              </w:rPr>
              <w:t>密封</w:t>
            </w:r>
          </w:p>
          <w:p>
            <w:pPr>
              <w:widowControl w:val="0"/>
              <w:spacing w:line="239" w:lineRule="auto"/>
              <w:jc w:val="center"/>
              <w:rPr>
                <w:rFonts w:ascii="宋体" w:hAnsi="宋体"/>
                <w:szCs w:val="21"/>
              </w:rPr>
            </w:pPr>
            <w:r>
              <w:rPr>
                <w:rFonts w:hint="eastAsia" w:ascii="宋体" w:hAnsi="宋体"/>
                <w:szCs w:val="21"/>
              </w:rPr>
              <w:t>情况</w:t>
            </w:r>
          </w:p>
        </w:tc>
        <w:tc>
          <w:tcPr>
            <w:tcW w:w="1649" w:type="dxa"/>
            <w:vAlign w:val="center"/>
          </w:tcPr>
          <w:p>
            <w:pPr>
              <w:widowControl w:val="0"/>
              <w:spacing w:line="239" w:lineRule="auto"/>
              <w:jc w:val="center"/>
              <w:rPr>
                <w:rFonts w:ascii="宋体" w:hAnsi="宋体"/>
                <w:szCs w:val="21"/>
              </w:rPr>
            </w:pPr>
            <w:r>
              <w:rPr>
                <w:rFonts w:hint="eastAsia" w:ascii="宋体" w:hAnsi="宋体"/>
                <w:szCs w:val="21"/>
              </w:rPr>
              <w:t>投标保证金</w:t>
            </w:r>
          </w:p>
        </w:tc>
        <w:tc>
          <w:tcPr>
            <w:tcW w:w="1489" w:type="dxa"/>
            <w:vAlign w:val="center"/>
          </w:tcPr>
          <w:p>
            <w:pPr>
              <w:widowControl w:val="0"/>
              <w:spacing w:line="239" w:lineRule="auto"/>
              <w:jc w:val="center"/>
              <w:rPr>
                <w:rFonts w:ascii="宋体" w:hAnsi="宋体"/>
                <w:szCs w:val="21"/>
              </w:rPr>
            </w:pPr>
            <w:r>
              <w:rPr>
                <w:rFonts w:hint="eastAsia" w:ascii="宋体" w:hAnsi="宋体"/>
                <w:szCs w:val="21"/>
              </w:rPr>
              <w:t>投标报价</w:t>
            </w:r>
          </w:p>
          <w:p>
            <w:pPr>
              <w:widowControl w:val="0"/>
              <w:spacing w:line="239" w:lineRule="auto"/>
              <w:jc w:val="center"/>
              <w:rPr>
                <w:rFonts w:ascii="宋体" w:hAnsi="宋体"/>
                <w:szCs w:val="21"/>
              </w:rPr>
            </w:pPr>
            <w:r>
              <w:rPr>
                <w:rFonts w:hint="eastAsia" w:ascii="宋体" w:hAnsi="宋体"/>
                <w:szCs w:val="21"/>
              </w:rPr>
              <w:t>（万元）</w:t>
            </w:r>
          </w:p>
        </w:tc>
        <w:tc>
          <w:tcPr>
            <w:tcW w:w="1195" w:type="dxa"/>
            <w:vAlign w:val="center"/>
          </w:tcPr>
          <w:p>
            <w:pPr>
              <w:widowControl w:val="0"/>
              <w:spacing w:line="239" w:lineRule="auto"/>
              <w:jc w:val="center"/>
              <w:rPr>
                <w:rFonts w:ascii="宋体" w:hAnsi="宋体"/>
                <w:szCs w:val="21"/>
              </w:rPr>
            </w:pPr>
            <w:r>
              <w:rPr>
                <w:rFonts w:hint="eastAsia" w:ascii="宋体" w:hAnsi="宋体"/>
                <w:szCs w:val="21"/>
              </w:rPr>
              <w:t>计</w:t>
            </w:r>
            <w:r>
              <w:rPr>
                <w:rFonts w:ascii="宋体" w:hAnsi="宋体"/>
                <w:szCs w:val="21"/>
              </w:rPr>
              <w:t>划工</w:t>
            </w:r>
            <w:r>
              <w:rPr>
                <w:rFonts w:hint="eastAsia" w:ascii="宋体" w:hAnsi="宋体"/>
                <w:szCs w:val="21"/>
              </w:rPr>
              <w:t>期</w:t>
            </w:r>
          </w:p>
        </w:tc>
        <w:tc>
          <w:tcPr>
            <w:tcW w:w="1703" w:type="dxa"/>
            <w:vAlign w:val="center"/>
          </w:tcPr>
          <w:p>
            <w:pPr>
              <w:widowControl w:val="0"/>
              <w:spacing w:line="239" w:lineRule="auto"/>
              <w:jc w:val="center"/>
              <w:rPr>
                <w:rFonts w:ascii="宋体" w:hAnsi="宋体"/>
                <w:szCs w:val="21"/>
              </w:rPr>
            </w:pPr>
            <w:r>
              <w:rPr>
                <w:rFonts w:hint="eastAsia" w:ascii="宋体" w:hAnsi="宋体"/>
                <w:szCs w:val="21"/>
              </w:rPr>
              <w:t>投标人代表</w:t>
            </w:r>
          </w:p>
          <w:p>
            <w:pPr>
              <w:widowControl w:val="0"/>
              <w:spacing w:line="239" w:lineRule="auto"/>
              <w:jc w:val="center"/>
              <w:rPr>
                <w:rFonts w:ascii="宋体" w:hAnsi="宋体"/>
                <w:szCs w:val="21"/>
              </w:rPr>
            </w:pPr>
            <w:r>
              <w:rPr>
                <w:rFonts w:hint="eastAsia" w:ascii="宋体" w:hAnsi="宋体"/>
                <w:szCs w:val="21"/>
              </w:rPr>
              <w:t>签名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7" w:hRule="atLeast"/>
          <w:jc w:val="center"/>
        </w:trPr>
        <w:tc>
          <w:tcPr>
            <w:tcW w:w="1196" w:type="dxa"/>
          </w:tcPr>
          <w:p>
            <w:pPr>
              <w:widowControl w:val="0"/>
              <w:spacing w:line="239" w:lineRule="auto"/>
              <w:jc w:val="left"/>
              <w:rPr>
                <w:rFonts w:ascii="宋体" w:hAnsi="宋体"/>
                <w:szCs w:val="21"/>
              </w:rPr>
            </w:pPr>
          </w:p>
        </w:tc>
        <w:tc>
          <w:tcPr>
            <w:tcW w:w="1195" w:type="dxa"/>
          </w:tcPr>
          <w:p>
            <w:pPr>
              <w:widowControl w:val="0"/>
              <w:spacing w:line="239" w:lineRule="auto"/>
              <w:jc w:val="left"/>
              <w:rPr>
                <w:rFonts w:ascii="宋体" w:hAnsi="宋体"/>
                <w:szCs w:val="21"/>
              </w:rPr>
            </w:pPr>
          </w:p>
        </w:tc>
        <w:tc>
          <w:tcPr>
            <w:tcW w:w="1195" w:type="dxa"/>
          </w:tcPr>
          <w:p>
            <w:pPr>
              <w:widowControl w:val="0"/>
              <w:spacing w:line="239" w:lineRule="auto"/>
              <w:jc w:val="left"/>
              <w:rPr>
                <w:rFonts w:ascii="宋体" w:hAnsi="宋体"/>
                <w:szCs w:val="21"/>
              </w:rPr>
            </w:pPr>
          </w:p>
        </w:tc>
        <w:tc>
          <w:tcPr>
            <w:tcW w:w="1649" w:type="dxa"/>
          </w:tcPr>
          <w:p>
            <w:pPr>
              <w:widowControl w:val="0"/>
              <w:spacing w:line="239" w:lineRule="auto"/>
              <w:jc w:val="left"/>
              <w:rPr>
                <w:rFonts w:ascii="宋体" w:hAnsi="宋体"/>
                <w:szCs w:val="21"/>
              </w:rPr>
            </w:pPr>
          </w:p>
        </w:tc>
        <w:tc>
          <w:tcPr>
            <w:tcW w:w="1489" w:type="dxa"/>
          </w:tcPr>
          <w:p>
            <w:pPr>
              <w:widowControl w:val="0"/>
              <w:spacing w:line="239" w:lineRule="auto"/>
              <w:jc w:val="left"/>
              <w:rPr>
                <w:rFonts w:ascii="宋体" w:hAnsi="宋体"/>
                <w:szCs w:val="21"/>
              </w:rPr>
            </w:pPr>
          </w:p>
        </w:tc>
        <w:tc>
          <w:tcPr>
            <w:tcW w:w="1195" w:type="dxa"/>
          </w:tcPr>
          <w:p>
            <w:pPr>
              <w:widowControl w:val="0"/>
              <w:spacing w:line="239" w:lineRule="auto"/>
              <w:jc w:val="left"/>
              <w:rPr>
                <w:rFonts w:ascii="宋体" w:hAnsi="宋体"/>
                <w:szCs w:val="21"/>
              </w:rPr>
            </w:pPr>
          </w:p>
        </w:tc>
        <w:tc>
          <w:tcPr>
            <w:tcW w:w="1703" w:type="dxa"/>
          </w:tcPr>
          <w:p>
            <w:pPr>
              <w:widowControl w:val="0"/>
              <w:spacing w:line="239" w:lineRule="auto"/>
              <w:jc w:val="left"/>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7" w:hRule="atLeast"/>
          <w:jc w:val="center"/>
        </w:trPr>
        <w:tc>
          <w:tcPr>
            <w:tcW w:w="1196" w:type="dxa"/>
          </w:tcPr>
          <w:p>
            <w:pPr>
              <w:widowControl w:val="0"/>
              <w:spacing w:line="239" w:lineRule="auto"/>
              <w:jc w:val="left"/>
              <w:rPr>
                <w:rFonts w:ascii="宋体" w:hAnsi="宋体"/>
                <w:szCs w:val="21"/>
              </w:rPr>
            </w:pPr>
          </w:p>
        </w:tc>
        <w:tc>
          <w:tcPr>
            <w:tcW w:w="1195" w:type="dxa"/>
          </w:tcPr>
          <w:p>
            <w:pPr>
              <w:widowControl w:val="0"/>
              <w:spacing w:line="239" w:lineRule="auto"/>
              <w:jc w:val="left"/>
              <w:rPr>
                <w:rFonts w:ascii="宋体" w:hAnsi="宋体"/>
                <w:szCs w:val="21"/>
              </w:rPr>
            </w:pPr>
          </w:p>
        </w:tc>
        <w:tc>
          <w:tcPr>
            <w:tcW w:w="1195" w:type="dxa"/>
          </w:tcPr>
          <w:p>
            <w:pPr>
              <w:widowControl w:val="0"/>
              <w:spacing w:line="239" w:lineRule="auto"/>
              <w:jc w:val="left"/>
              <w:rPr>
                <w:rFonts w:ascii="宋体" w:hAnsi="宋体"/>
                <w:szCs w:val="21"/>
              </w:rPr>
            </w:pPr>
          </w:p>
        </w:tc>
        <w:tc>
          <w:tcPr>
            <w:tcW w:w="1649" w:type="dxa"/>
          </w:tcPr>
          <w:p>
            <w:pPr>
              <w:widowControl w:val="0"/>
              <w:spacing w:line="239" w:lineRule="auto"/>
              <w:jc w:val="left"/>
              <w:rPr>
                <w:rFonts w:ascii="宋体" w:hAnsi="宋体"/>
                <w:szCs w:val="21"/>
              </w:rPr>
            </w:pPr>
          </w:p>
        </w:tc>
        <w:tc>
          <w:tcPr>
            <w:tcW w:w="1489" w:type="dxa"/>
          </w:tcPr>
          <w:p>
            <w:pPr>
              <w:widowControl w:val="0"/>
              <w:spacing w:line="239" w:lineRule="auto"/>
              <w:jc w:val="left"/>
              <w:rPr>
                <w:rFonts w:ascii="宋体" w:hAnsi="宋体"/>
                <w:szCs w:val="21"/>
              </w:rPr>
            </w:pPr>
          </w:p>
        </w:tc>
        <w:tc>
          <w:tcPr>
            <w:tcW w:w="1195" w:type="dxa"/>
          </w:tcPr>
          <w:p>
            <w:pPr>
              <w:widowControl w:val="0"/>
              <w:spacing w:line="239" w:lineRule="auto"/>
              <w:jc w:val="left"/>
              <w:rPr>
                <w:rFonts w:ascii="宋体" w:hAnsi="宋体"/>
                <w:szCs w:val="21"/>
              </w:rPr>
            </w:pPr>
          </w:p>
        </w:tc>
        <w:tc>
          <w:tcPr>
            <w:tcW w:w="1703" w:type="dxa"/>
          </w:tcPr>
          <w:p>
            <w:pPr>
              <w:widowControl w:val="0"/>
              <w:spacing w:line="239" w:lineRule="auto"/>
              <w:jc w:val="left"/>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7" w:hRule="atLeast"/>
          <w:jc w:val="center"/>
        </w:trPr>
        <w:tc>
          <w:tcPr>
            <w:tcW w:w="1196" w:type="dxa"/>
          </w:tcPr>
          <w:p>
            <w:pPr>
              <w:widowControl w:val="0"/>
              <w:spacing w:line="239" w:lineRule="auto"/>
              <w:jc w:val="left"/>
              <w:rPr>
                <w:rFonts w:ascii="宋体" w:hAnsi="宋体"/>
                <w:szCs w:val="21"/>
              </w:rPr>
            </w:pPr>
          </w:p>
        </w:tc>
        <w:tc>
          <w:tcPr>
            <w:tcW w:w="1195" w:type="dxa"/>
          </w:tcPr>
          <w:p>
            <w:pPr>
              <w:widowControl w:val="0"/>
              <w:spacing w:line="239" w:lineRule="auto"/>
              <w:jc w:val="left"/>
              <w:rPr>
                <w:rFonts w:ascii="宋体" w:hAnsi="宋体"/>
                <w:szCs w:val="21"/>
              </w:rPr>
            </w:pPr>
          </w:p>
        </w:tc>
        <w:tc>
          <w:tcPr>
            <w:tcW w:w="1195" w:type="dxa"/>
          </w:tcPr>
          <w:p>
            <w:pPr>
              <w:widowControl w:val="0"/>
              <w:spacing w:line="239" w:lineRule="auto"/>
              <w:jc w:val="left"/>
              <w:rPr>
                <w:rFonts w:ascii="宋体" w:hAnsi="宋体"/>
                <w:szCs w:val="21"/>
              </w:rPr>
            </w:pPr>
          </w:p>
        </w:tc>
        <w:tc>
          <w:tcPr>
            <w:tcW w:w="1649" w:type="dxa"/>
          </w:tcPr>
          <w:p>
            <w:pPr>
              <w:widowControl w:val="0"/>
              <w:spacing w:line="239" w:lineRule="auto"/>
              <w:jc w:val="left"/>
              <w:rPr>
                <w:rFonts w:ascii="宋体" w:hAnsi="宋体"/>
                <w:szCs w:val="21"/>
              </w:rPr>
            </w:pPr>
          </w:p>
        </w:tc>
        <w:tc>
          <w:tcPr>
            <w:tcW w:w="1489" w:type="dxa"/>
          </w:tcPr>
          <w:p>
            <w:pPr>
              <w:widowControl w:val="0"/>
              <w:spacing w:line="239" w:lineRule="auto"/>
              <w:jc w:val="left"/>
              <w:rPr>
                <w:rFonts w:ascii="宋体" w:hAnsi="宋体"/>
                <w:szCs w:val="21"/>
              </w:rPr>
            </w:pPr>
          </w:p>
        </w:tc>
        <w:tc>
          <w:tcPr>
            <w:tcW w:w="1195" w:type="dxa"/>
          </w:tcPr>
          <w:p>
            <w:pPr>
              <w:widowControl w:val="0"/>
              <w:spacing w:line="239" w:lineRule="auto"/>
              <w:jc w:val="left"/>
              <w:rPr>
                <w:rFonts w:ascii="宋体" w:hAnsi="宋体"/>
                <w:szCs w:val="21"/>
              </w:rPr>
            </w:pPr>
          </w:p>
        </w:tc>
        <w:tc>
          <w:tcPr>
            <w:tcW w:w="1703" w:type="dxa"/>
          </w:tcPr>
          <w:p>
            <w:pPr>
              <w:widowControl w:val="0"/>
              <w:spacing w:line="239" w:lineRule="auto"/>
              <w:jc w:val="left"/>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7" w:hRule="atLeast"/>
          <w:jc w:val="center"/>
        </w:trPr>
        <w:tc>
          <w:tcPr>
            <w:tcW w:w="1196" w:type="dxa"/>
          </w:tcPr>
          <w:p>
            <w:pPr>
              <w:widowControl w:val="0"/>
              <w:spacing w:line="239" w:lineRule="auto"/>
              <w:jc w:val="left"/>
              <w:rPr>
                <w:rFonts w:ascii="宋体" w:hAnsi="宋体"/>
                <w:szCs w:val="21"/>
              </w:rPr>
            </w:pPr>
          </w:p>
        </w:tc>
        <w:tc>
          <w:tcPr>
            <w:tcW w:w="1195" w:type="dxa"/>
          </w:tcPr>
          <w:p>
            <w:pPr>
              <w:widowControl w:val="0"/>
              <w:spacing w:line="239" w:lineRule="auto"/>
              <w:jc w:val="left"/>
              <w:rPr>
                <w:rFonts w:ascii="宋体" w:hAnsi="宋体"/>
                <w:szCs w:val="21"/>
              </w:rPr>
            </w:pPr>
          </w:p>
        </w:tc>
        <w:tc>
          <w:tcPr>
            <w:tcW w:w="1195" w:type="dxa"/>
          </w:tcPr>
          <w:p>
            <w:pPr>
              <w:widowControl w:val="0"/>
              <w:spacing w:line="239" w:lineRule="auto"/>
              <w:jc w:val="left"/>
              <w:rPr>
                <w:rFonts w:ascii="宋体" w:hAnsi="宋体"/>
                <w:szCs w:val="21"/>
              </w:rPr>
            </w:pPr>
          </w:p>
        </w:tc>
        <w:tc>
          <w:tcPr>
            <w:tcW w:w="1649" w:type="dxa"/>
          </w:tcPr>
          <w:p>
            <w:pPr>
              <w:widowControl w:val="0"/>
              <w:spacing w:line="239" w:lineRule="auto"/>
              <w:jc w:val="left"/>
              <w:rPr>
                <w:rFonts w:ascii="宋体" w:hAnsi="宋体"/>
                <w:szCs w:val="21"/>
              </w:rPr>
            </w:pPr>
          </w:p>
        </w:tc>
        <w:tc>
          <w:tcPr>
            <w:tcW w:w="1489" w:type="dxa"/>
          </w:tcPr>
          <w:p>
            <w:pPr>
              <w:widowControl w:val="0"/>
              <w:spacing w:line="239" w:lineRule="auto"/>
              <w:jc w:val="left"/>
              <w:rPr>
                <w:rFonts w:ascii="宋体" w:hAnsi="宋体"/>
                <w:szCs w:val="21"/>
              </w:rPr>
            </w:pPr>
          </w:p>
        </w:tc>
        <w:tc>
          <w:tcPr>
            <w:tcW w:w="1195" w:type="dxa"/>
          </w:tcPr>
          <w:p>
            <w:pPr>
              <w:widowControl w:val="0"/>
              <w:spacing w:line="239" w:lineRule="auto"/>
              <w:jc w:val="left"/>
              <w:rPr>
                <w:rFonts w:ascii="宋体" w:hAnsi="宋体"/>
                <w:szCs w:val="21"/>
              </w:rPr>
            </w:pPr>
          </w:p>
        </w:tc>
        <w:tc>
          <w:tcPr>
            <w:tcW w:w="1703" w:type="dxa"/>
          </w:tcPr>
          <w:p>
            <w:pPr>
              <w:widowControl w:val="0"/>
              <w:spacing w:line="239" w:lineRule="auto"/>
              <w:jc w:val="left"/>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7" w:hRule="atLeast"/>
          <w:jc w:val="center"/>
        </w:trPr>
        <w:tc>
          <w:tcPr>
            <w:tcW w:w="1196" w:type="dxa"/>
          </w:tcPr>
          <w:p>
            <w:pPr>
              <w:widowControl w:val="0"/>
              <w:spacing w:line="239" w:lineRule="auto"/>
              <w:jc w:val="left"/>
              <w:rPr>
                <w:rFonts w:ascii="宋体" w:hAnsi="宋体"/>
                <w:szCs w:val="21"/>
              </w:rPr>
            </w:pPr>
          </w:p>
        </w:tc>
        <w:tc>
          <w:tcPr>
            <w:tcW w:w="1195" w:type="dxa"/>
          </w:tcPr>
          <w:p>
            <w:pPr>
              <w:widowControl w:val="0"/>
              <w:spacing w:line="239" w:lineRule="auto"/>
              <w:jc w:val="left"/>
              <w:rPr>
                <w:rFonts w:ascii="宋体" w:hAnsi="宋体"/>
                <w:szCs w:val="21"/>
              </w:rPr>
            </w:pPr>
          </w:p>
        </w:tc>
        <w:tc>
          <w:tcPr>
            <w:tcW w:w="1195" w:type="dxa"/>
          </w:tcPr>
          <w:p>
            <w:pPr>
              <w:widowControl w:val="0"/>
              <w:spacing w:line="239" w:lineRule="auto"/>
              <w:jc w:val="left"/>
              <w:rPr>
                <w:rFonts w:ascii="宋体" w:hAnsi="宋体"/>
                <w:szCs w:val="21"/>
              </w:rPr>
            </w:pPr>
          </w:p>
        </w:tc>
        <w:tc>
          <w:tcPr>
            <w:tcW w:w="1649" w:type="dxa"/>
          </w:tcPr>
          <w:p>
            <w:pPr>
              <w:widowControl w:val="0"/>
              <w:spacing w:line="239" w:lineRule="auto"/>
              <w:jc w:val="left"/>
              <w:rPr>
                <w:rFonts w:ascii="宋体" w:hAnsi="宋体"/>
                <w:szCs w:val="21"/>
              </w:rPr>
            </w:pPr>
          </w:p>
        </w:tc>
        <w:tc>
          <w:tcPr>
            <w:tcW w:w="1489" w:type="dxa"/>
          </w:tcPr>
          <w:p>
            <w:pPr>
              <w:widowControl w:val="0"/>
              <w:spacing w:line="239" w:lineRule="auto"/>
              <w:jc w:val="left"/>
              <w:rPr>
                <w:rFonts w:ascii="宋体" w:hAnsi="宋体"/>
                <w:szCs w:val="21"/>
              </w:rPr>
            </w:pPr>
          </w:p>
        </w:tc>
        <w:tc>
          <w:tcPr>
            <w:tcW w:w="1195" w:type="dxa"/>
          </w:tcPr>
          <w:p>
            <w:pPr>
              <w:widowControl w:val="0"/>
              <w:spacing w:line="239" w:lineRule="auto"/>
              <w:jc w:val="left"/>
              <w:rPr>
                <w:rFonts w:ascii="宋体" w:hAnsi="宋体"/>
                <w:szCs w:val="21"/>
              </w:rPr>
            </w:pPr>
          </w:p>
        </w:tc>
        <w:tc>
          <w:tcPr>
            <w:tcW w:w="1703" w:type="dxa"/>
          </w:tcPr>
          <w:p>
            <w:pPr>
              <w:widowControl w:val="0"/>
              <w:spacing w:line="239" w:lineRule="auto"/>
              <w:jc w:val="left"/>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7" w:hRule="atLeast"/>
          <w:jc w:val="center"/>
        </w:trPr>
        <w:tc>
          <w:tcPr>
            <w:tcW w:w="1196" w:type="dxa"/>
          </w:tcPr>
          <w:p>
            <w:pPr>
              <w:widowControl w:val="0"/>
              <w:spacing w:line="239" w:lineRule="auto"/>
              <w:jc w:val="left"/>
              <w:rPr>
                <w:rFonts w:ascii="宋体" w:hAnsi="宋体"/>
                <w:szCs w:val="21"/>
              </w:rPr>
            </w:pPr>
          </w:p>
        </w:tc>
        <w:tc>
          <w:tcPr>
            <w:tcW w:w="1195" w:type="dxa"/>
          </w:tcPr>
          <w:p>
            <w:pPr>
              <w:widowControl w:val="0"/>
              <w:spacing w:line="239" w:lineRule="auto"/>
              <w:jc w:val="left"/>
              <w:rPr>
                <w:rFonts w:ascii="宋体" w:hAnsi="宋体"/>
                <w:szCs w:val="21"/>
              </w:rPr>
            </w:pPr>
          </w:p>
        </w:tc>
        <w:tc>
          <w:tcPr>
            <w:tcW w:w="1195" w:type="dxa"/>
          </w:tcPr>
          <w:p>
            <w:pPr>
              <w:widowControl w:val="0"/>
              <w:spacing w:line="239" w:lineRule="auto"/>
              <w:jc w:val="left"/>
              <w:rPr>
                <w:rFonts w:ascii="宋体" w:hAnsi="宋体"/>
                <w:szCs w:val="21"/>
              </w:rPr>
            </w:pPr>
          </w:p>
        </w:tc>
        <w:tc>
          <w:tcPr>
            <w:tcW w:w="1649" w:type="dxa"/>
          </w:tcPr>
          <w:p>
            <w:pPr>
              <w:widowControl w:val="0"/>
              <w:spacing w:line="239" w:lineRule="auto"/>
              <w:jc w:val="left"/>
              <w:rPr>
                <w:rFonts w:ascii="宋体" w:hAnsi="宋体"/>
                <w:szCs w:val="21"/>
              </w:rPr>
            </w:pPr>
          </w:p>
        </w:tc>
        <w:tc>
          <w:tcPr>
            <w:tcW w:w="1489" w:type="dxa"/>
          </w:tcPr>
          <w:p>
            <w:pPr>
              <w:widowControl w:val="0"/>
              <w:spacing w:line="239" w:lineRule="auto"/>
              <w:jc w:val="left"/>
              <w:rPr>
                <w:rFonts w:ascii="宋体" w:hAnsi="宋体"/>
                <w:szCs w:val="21"/>
              </w:rPr>
            </w:pPr>
          </w:p>
        </w:tc>
        <w:tc>
          <w:tcPr>
            <w:tcW w:w="1195" w:type="dxa"/>
          </w:tcPr>
          <w:p>
            <w:pPr>
              <w:widowControl w:val="0"/>
              <w:spacing w:line="239" w:lineRule="auto"/>
              <w:jc w:val="left"/>
              <w:rPr>
                <w:rFonts w:ascii="宋体" w:hAnsi="宋体"/>
                <w:szCs w:val="21"/>
              </w:rPr>
            </w:pPr>
          </w:p>
        </w:tc>
        <w:tc>
          <w:tcPr>
            <w:tcW w:w="1703" w:type="dxa"/>
          </w:tcPr>
          <w:p>
            <w:pPr>
              <w:widowControl w:val="0"/>
              <w:spacing w:line="239" w:lineRule="auto"/>
              <w:jc w:val="left"/>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7" w:hRule="atLeast"/>
          <w:jc w:val="center"/>
        </w:trPr>
        <w:tc>
          <w:tcPr>
            <w:tcW w:w="1196" w:type="dxa"/>
          </w:tcPr>
          <w:p>
            <w:pPr>
              <w:widowControl w:val="0"/>
              <w:spacing w:line="239" w:lineRule="auto"/>
              <w:jc w:val="left"/>
              <w:rPr>
                <w:rFonts w:ascii="宋体" w:hAnsi="宋体"/>
                <w:szCs w:val="21"/>
              </w:rPr>
            </w:pPr>
          </w:p>
        </w:tc>
        <w:tc>
          <w:tcPr>
            <w:tcW w:w="1195" w:type="dxa"/>
          </w:tcPr>
          <w:p>
            <w:pPr>
              <w:widowControl w:val="0"/>
              <w:spacing w:line="239" w:lineRule="auto"/>
              <w:jc w:val="left"/>
              <w:rPr>
                <w:rFonts w:ascii="宋体" w:hAnsi="宋体"/>
                <w:szCs w:val="21"/>
              </w:rPr>
            </w:pPr>
          </w:p>
        </w:tc>
        <w:tc>
          <w:tcPr>
            <w:tcW w:w="1195" w:type="dxa"/>
          </w:tcPr>
          <w:p>
            <w:pPr>
              <w:widowControl w:val="0"/>
              <w:spacing w:line="239" w:lineRule="auto"/>
              <w:jc w:val="left"/>
              <w:rPr>
                <w:rFonts w:ascii="宋体" w:hAnsi="宋体"/>
                <w:szCs w:val="21"/>
              </w:rPr>
            </w:pPr>
          </w:p>
        </w:tc>
        <w:tc>
          <w:tcPr>
            <w:tcW w:w="1649" w:type="dxa"/>
          </w:tcPr>
          <w:p>
            <w:pPr>
              <w:widowControl w:val="0"/>
              <w:spacing w:line="239" w:lineRule="auto"/>
              <w:jc w:val="left"/>
              <w:rPr>
                <w:rFonts w:ascii="宋体" w:hAnsi="宋体"/>
                <w:szCs w:val="21"/>
              </w:rPr>
            </w:pPr>
          </w:p>
        </w:tc>
        <w:tc>
          <w:tcPr>
            <w:tcW w:w="1489" w:type="dxa"/>
          </w:tcPr>
          <w:p>
            <w:pPr>
              <w:widowControl w:val="0"/>
              <w:spacing w:line="239" w:lineRule="auto"/>
              <w:jc w:val="left"/>
              <w:rPr>
                <w:rFonts w:ascii="宋体" w:hAnsi="宋体"/>
                <w:szCs w:val="21"/>
              </w:rPr>
            </w:pPr>
          </w:p>
        </w:tc>
        <w:tc>
          <w:tcPr>
            <w:tcW w:w="1195" w:type="dxa"/>
          </w:tcPr>
          <w:p>
            <w:pPr>
              <w:widowControl w:val="0"/>
              <w:spacing w:line="239" w:lineRule="auto"/>
              <w:jc w:val="left"/>
              <w:rPr>
                <w:rFonts w:ascii="宋体" w:hAnsi="宋体"/>
                <w:szCs w:val="21"/>
              </w:rPr>
            </w:pPr>
          </w:p>
        </w:tc>
        <w:tc>
          <w:tcPr>
            <w:tcW w:w="1703" w:type="dxa"/>
          </w:tcPr>
          <w:p>
            <w:pPr>
              <w:widowControl w:val="0"/>
              <w:spacing w:line="239" w:lineRule="auto"/>
              <w:jc w:val="left"/>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7" w:hRule="atLeast"/>
          <w:jc w:val="center"/>
        </w:trPr>
        <w:tc>
          <w:tcPr>
            <w:tcW w:w="1196" w:type="dxa"/>
          </w:tcPr>
          <w:p>
            <w:pPr>
              <w:widowControl w:val="0"/>
              <w:spacing w:line="239" w:lineRule="auto"/>
              <w:jc w:val="left"/>
              <w:rPr>
                <w:rFonts w:ascii="宋体" w:hAnsi="宋体"/>
                <w:szCs w:val="21"/>
              </w:rPr>
            </w:pPr>
          </w:p>
        </w:tc>
        <w:tc>
          <w:tcPr>
            <w:tcW w:w="1195" w:type="dxa"/>
          </w:tcPr>
          <w:p>
            <w:pPr>
              <w:widowControl w:val="0"/>
              <w:spacing w:line="239" w:lineRule="auto"/>
              <w:jc w:val="left"/>
              <w:rPr>
                <w:rFonts w:ascii="宋体" w:hAnsi="宋体"/>
                <w:szCs w:val="21"/>
              </w:rPr>
            </w:pPr>
          </w:p>
        </w:tc>
        <w:tc>
          <w:tcPr>
            <w:tcW w:w="1195" w:type="dxa"/>
          </w:tcPr>
          <w:p>
            <w:pPr>
              <w:widowControl w:val="0"/>
              <w:spacing w:line="239" w:lineRule="auto"/>
              <w:jc w:val="left"/>
              <w:rPr>
                <w:rFonts w:ascii="宋体" w:hAnsi="宋体"/>
                <w:szCs w:val="21"/>
              </w:rPr>
            </w:pPr>
          </w:p>
        </w:tc>
        <w:tc>
          <w:tcPr>
            <w:tcW w:w="1649" w:type="dxa"/>
          </w:tcPr>
          <w:p>
            <w:pPr>
              <w:widowControl w:val="0"/>
              <w:spacing w:line="239" w:lineRule="auto"/>
              <w:jc w:val="left"/>
              <w:rPr>
                <w:rFonts w:ascii="宋体" w:hAnsi="宋体"/>
                <w:szCs w:val="21"/>
              </w:rPr>
            </w:pPr>
          </w:p>
        </w:tc>
        <w:tc>
          <w:tcPr>
            <w:tcW w:w="1489" w:type="dxa"/>
          </w:tcPr>
          <w:p>
            <w:pPr>
              <w:widowControl w:val="0"/>
              <w:spacing w:line="239" w:lineRule="auto"/>
              <w:jc w:val="left"/>
              <w:rPr>
                <w:rFonts w:ascii="宋体" w:hAnsi="宋体"/>
                <w:szCs w:val="21"/>
              </w:rPr>
            </w:pPr>
          </w:p>
        </w:tc>
        <w:tc>
          <w:tcPr>
            <w:tcW w:w="1195" w:type="dxa"/>
          </w:tcPr>
          <w:p>
            <w:pPr>
              <w:widowControl w:val="0"/>
              <w:spacing w:line="239" w:lineRule="auto"/>
              <w:jc w:val="left"/>
              <w:rPr>
                <w:rFonts w:ascii="宋体" w:hAnsi="宋体"/>
                <w:szCs w:val="21"/>
              </w:rPr>
            </w:pPr>
          </w:p>
        </w:tc>
        <w:tc>
          <w:tcPr>
            <w:tcW w:w="1703" w:type="dxa"/>
          </w:tcPr>
          <w:p>
            <w:pPr>
              <w:widowControl w:val="0"/>
              <w:spacing w:line="239" w:lineRule="auto"/>
              <w:jc w:val="left"/>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7" w:hRule="atLeast"/>
          <w:jc w:val="center"/>
        </w:trPr>
        <w:tc>
          <w:tcPr>
            <w:tcW w:w="1196" w:type="dxa"/>
          </w:tcPr>
          <w:p>
            <w:pPr>
              <w:widowControl w:val="0"/>
              <w:spacing w:line="239" w:lineRule="auto"/>
              <w:jc w:val="left"/>
              <w:rPr>
                <w:rFonts w:ascii="宋体" w:hAnsi="宋体"/>
                <w:szCs w:val="21"/>
              </w:rPr>
            </w:pPr>
          </w:p>
        </w:tc>
        <w:tc>
          <w:tcPr>
            <w:tcW w:w="1195" w:type="dxa"/>
          </w:tcPr>
          <w:p>
            <w:pPr>
              <w:widowControl w:val="0"/>
              <w:spacing w:line="239" w:lineRule="auto"/>
              <w:jc w:val="left"/>
              <w:rPr>
                <w:rFonts w:ascii="宋体" w:hAnsi="宋体"/>
                <w:szCs w:val="21"/>
              </w:rPr>
            </w:pPr>
          </w:p>
        </w:tc>
        <w:tc>
          <w:tcPr>
            <w:tcW w:w="1195" w:type="dxa"/>
          </w:tcPr>
          <w:p>
            <w:pPr>
              <w:widowControl w:val="0"/>
              <w:spacing w:line="239" w:lineRule="auto"/>
              <w:jc w:val="left"/>
              <w:rPr>
                <w:rFonts w:ascii="宋体" w:hAnsi="宋体"/>
                <w:szCs w:val="21"/>
              </w:rPr>
            </w:pPr>
          </w:p>
        </w:tc>
        <w:tc>
          <w:tcPr>
            <w:tcW w:w="1649" w:type="dxa"/>
          </w:tcPr>
          <w:p>
            <w:pPr>
              <w:widowControl w:val="0"/>
              <w:spacing w:line="239" w:lineRule="auto"/>
              <w:jc w:val="left"/>
              <w:rPr>
                <w:rFonts w:ascii="宋体" w:hAnsi="宋体"/>
                <w:szCs w:val="21"/>
              </w:rPr>
            </w:pPr>
          </w:p>
        </w:tc>
        <w:tc>
          <w:tcPr>
            <w:tcW w:w="1489" w:type="dxa"/>
          </w:tcPr>
          <w:p>
            <w:pPr>
              <w:widowControl w:val="0"/>
              <w:spacing w:line="239" w:lineRule="auto"/>
              <w:jc w:val="left"/>
              <w:rPr>
                <w:rFonts w:ascii="宋体" w:hAnsi="宋体"/>
                <w:szCs w:val="21"/>
              </w:rPr>
            </w:pPr>
          </w:p>
        </w:tc>
        <w:tc>
          <w:tcPr>
            <w:tcW w:w="1195" w:type="dxa"/>
          </w:tcPr>
          <w:p>
            <w:pPr>
              <w:widowControl w:val="0"/>
              <w:spacing w:line="239" w:lineRule="auto"/>
              <w:jc w:val="left"/>
              <w:rPr>
                <w:rFonts w:ascii="宋体" w:hAnsi="宋体"/>
                <w:szCs w:val="21"/>
              </w:rPr>
            </w:pPr>
          </w:p>
        </w:tc>
        <w:tc>
          <w:tcPr>
            <w:tcW w:w="1703" w:type="dxa"/>
          </w:tcPr>
          <w:p>
            <w:pPr>
              <w:widowControl w:val="0"/>
              <w:spacing w:line="239" w:lineRule="auto"/>
              <w:jc w:val="left"/>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7" w:hRule="atLeast"/>
          <w:jc w:val="center"/>
        </w:trPr>
        <w:tc>
          <w:tcPr>
            <w:tcW w:w="1196" w:type="dxa"/>
          </w:tcPr>
          <w:p>
            <w:pPr>
              <w:widowControl w:val="0"/>
              <w:spacing w:line="239" w:lineRule="auto"/>
              <w:jc w:val="left"/>
              <w:rPr>
                <w:rFonts w:ascii="宋体" w:hAnsi="宋体"/>
                <w:szCs w:val="21"/>
              </w:rPr>
            </w:pPr>
          </w:p>
        </w:tc>
        <w:tc>
          <w:tcPr>
            <w:tcW w:w="1195" w:type="dxa"/>
          </w:tcPr>
          <w:p>
            <w:pPr>
              <w:widowControl w:val="0"/>
              <w:spacing w:line="239" w:lineRule="auto"/>
              <w:jc w:val="left"/>
              <w:rPr>
                <w:rFonts w:ascii="宋体" w:hAnsi="宋体"/>
                <w:szCs w:val="21"/>
              </w:rPr>
            </w:pPr>
          </w:p>
        </w:tc>
        <w:tc>
          <w:tcPr>
            <w:tcW w:w="1195" w:type="dxa"/>
          </w:tcPr>
          <w:p>
            <w:pPr>
              <w:widowControl w:val="0"/>
              <w:spacing w:line="239" w:lineRule="auto"/>
              <w:jc w:val="left"/>
              <w:rPr>
                <w:rFonts w:ascii="宋体" w:hAnsi="宋体"/>
                <w:szCs w:val="21"/>
              </w:rPr>
            </w:pPr>
          </w:p>
        </w:tc>
        <w:tc>
          <w:tcPr>
            <w:tcW w:w="1649" w:type="dxa"/>
          </w:tcPr>
          <w:p>
            <w:pPr>
              <w:widowControl w:val="0"/>
              <w:spacing w:line="239" w:lineRule="auto"/>
              <w:jc w:val="left"/>
              <w:rPr>
                <w:rFonts w:ascii="宋体" w:hAnsi="宋体"/>
                <w:szCs w:val="21"/>
              </w:rPr>
            </w:pPr>
          </w:p>
        </w:tc>
        <w:tc>
          <w:tcPr>
            <w:tcW w:w="1489" w:type="dxa"/>
          </w:tcPr>
          <w:p>
            <w:pPr>
              <w:widowControl w:val="0"/>
              <w:spacing w:line="239" w:lineRule="auto"/>
              <w:jc w:val="left"/>
              <w:rPr>
                <w:rFonts w:ascii="宋体" w:hAnsi="宋体"/>
                <w:szCs w:val="21"/>
              </w:rPr>
            </w:pPr>
          </w:p>
        </w:tc>
        <w:tc>
          <w:tcPr>
            <w:tcW w:w="1195" w:type="dxa"/>
          </w:tcPr>
          <w:p>
            <w:pPr>
              <w:widowControl w:val="0"/>
              <w:spacing w:line="239" w:lineRule="auto"/>
              <w:jc w:val="left"/>
              <w:rPr>
                <w:rFonts w:ascii="宋体" w:hAnsi="宋体"/>
                <w:szCs w:val="21"/>
              </w:rPr>
            </w:pPr>
          </w:p>
        </w:tc>
        <w:tc>
          <w:tcPr>
            <w:tcW w:w="1703" w:type="dxa"/>
          </w:tcPr>
          <w:p>
            <w:pPr>
              <w:widowControl w:val="0"/>
              <w:spacing w:line="239" w:lineRule="auto"/>
              <w:jc w:val="left"/>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7" w:hRule="atLeast"/>
          <w:jc w:val="center"/>
        </w:trPr>
        <w:tc>
          <w:tcPr>
            <w:tcW w:w="1196" w:type="dxa"/>
          </w:tcPr>
          <w:p>
            <w:pPr>
              <w:widowControl w:val="0"/>
              <w:spacing w:line="239" w:lineRule="auto"/>
              <w:jc w:val="left"/>
              <w:rPr>
                <w:rFonts w:ascii="宋体" w:hAnsi="宋体"/>
                <w:szCs w:val="21"/>
              </w:rPr>
            </w:pPr>
          </w:p>
        </w:tc>
        <w:tc>
          <w:tcPr>
            <w:tcW w:w="1195" w:type="dxa"/>
          </w:tcPr>
          <w:p>
            <w:pPr>
              <w:widowControl w:val="0"/>
              <w:spacing w:line="239" w:lineRule="auto"/>
              <w:jc w:val="left"/>
              <w:rPr>
                <w:rFonts w:ascii="宋体" w:hAnsi="宋体"/>
                <w:szCs w:val="21"/>
              </w:rPr>
            </w:pPr>
          </w:p>
        </w:tc>
        <w:tc>
          <w:tcPr>
            <w:tcW w:w="1195" w:type="dxa"/>
          </w:tcPr>
          <w:p>
            <w:pPr>
              <w:widowControl w:val="0"/>
              <w:spacing w:line="239" w:lineRule="auto"/>
              <w:jc w:val="left"/>
              <w:rPr>
                <w:rFonts w:ascii="宋体" w:hAnsi="宋体"/>
                <w:szCs w:val="21"/>
              </w:rPr>
            </w:pPr>
          </w:p>
        </w:tc>
        <w:tc>
          <w:tcPr>
            <w:tcW w:w="1649" w:type="dxa"/>
          </w:tcPr>
          <w:p>
            <w:pPr>
              <w:widowControl w:val="0"/>
              <w:spacing w:line="239" w:lineRule="auto"/>
              <w:jc w:val="left"/>
              <w:rPr>
                <w:rFonts w:ascii="宋体" w:hAnsi="宋体"/>
                <w:szCs w:val="21"/>
              </w:rPr>
            </w:pPr>
          </w:p>
        </w:tc>
        <w:tc>
          <w:tcPr>
            <w:tcW w:w="1489" w:type="dxa"/>
          </w:tcPr>
          <w:p>
            <w:pPr>
              <w:widowControl w:val="0"/>
              <w:spacing w:line="239" w:lineRule="auto"/>
              <w:jc w:val="left"/>
              <w:rPr>
                <w:rFonts w:ascii="宋体" w:hAnsi="宋体"/>
                <w:szCs w:val="21"/>
              </w:rPr>
            </w:pPr>
          </w:p>
        </w:tc>
        <w:tc>
          <w:tcPr>
            <w:tcW w:w="1195" w:type="dxa"/>
          </w:tcPr>
          <w:p>
            <w:pPr>
              <w:widowControl w:val="0"/>
              <w:spacing w:line="239" w:lineRule="auto"/>
              <w:jc w:val="left"/>
              <w:rPr>
                <w:rFonts w:ascii="宋体" w:hAnsi="宋体"/>
                <w:szCs w:val="21"/>
              </w:rPr>
            </w:pPr>
          </w:p>
        </w:tc>
        <w:tc>
          <w:tcPr>
            <w:tcW w:w="1703" w:type="dxa"/>
          </w:tcPr>
          <w:p>
            <w:pPr>
              <w:widowControl w:val="0"/>
              <w:spacing w:line="239" w:lineRule="auto"/>
              <w:jc w:val="left"/>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7" w:hRule="atLeast"/>
          <w:jc w:val="center"/>
        </w:trPr>
        <w:tc>
          <w:tcPr>
            <w:tcW w:w="3586" w:type="dxa"/>
            <w:gridSpan w:val="3"/>
            <w:vAlign w:val="center"/>
          </w:tcPr>
          <w:p>
            <w:pPr>
              <w:widowControl w:val="0"/>
              <w:spacing w:line="239" w:lineRule="auto"/>
              <w:rPr>
                <w:rFonts w:ascii="宋体" w:hAnsi="宋体"/>
                <w:szCs w:val="21"/>
              </w:rPr>
            </w:pPr>
            <w:r>
              <w:rPr>
                <w:rFonts w:ascii="宋体" w:hAnsi="宋体"/>
                <w:szCs w:val="21"/>
              </w:rPr>
              <w:t>最高投标限价：</w:t>
            </w:r>
          </w:p>
        </w:tc>
        <w:tc>
          <w:tcPr>
            <w:tcW w:w="6036" w:type="dxa"/>
            <w:gridSpan w:val="4"/>
          </w:tcPr>
          <w:p>
            <w:pPr>
              <w:widowControl w:val="0"/>
              <w:spacing w:line="239" w:lineRule="auto"/>
              <w:jc w:val="left"/>
              <w:rPr>
                <w:rFonts w:ascii="宋体" w:hAnsi="宋体"/>
                <w:szCs w:val="21"/>
              </w:rPr>
            </w:pPr>
          </w:p>
        </w:tc>
      </w:tr>
    </w:tbl>
    <w:p>
      <w:pPr>
        <w:spacing w:line="360" w:lineRule="auto"/>
        <w:jc w:val="left"/>
        <w:rPr>
          <w:sz w:val="24"/>
        </w:rPr>
      </w:pPr>
    </w:p>
    <w:p>
      <w:pPr>
        <w:spacing w:line="360" w:lineRule="auto"/>
        <w:jc w:val="left"/>
        <w:rPr>
          <w:rFonts w:ascii="宋体" w:hAnsi="宋体"/>
        </w:rPr>
      </w:pPr>
      <w:r>
        <w:rPr>
          <w:rFonts w:hint="eastAsia" w:ascii="宋体" w:hAnsi="宋体"/>
        </w:rPr>
        <w:t>招标人代表：</w:t>
      </w:r>
    </w:p>
    <w:p>
      <w:pPr>
        <w:spacing w:line="360" w:lineRule="auto"/>
        <w:jc w:val="left"/>
        <w:rPr>
          <w:rFonts w:ascii="宋体" w:hAnsi="宋体"/>
        </w:rPr>
      </w:pPr>
      <w:r>
        <w:rPr>
          <w:rFonts w:hint="eastAsia" w:ascii="宋体" w:hAnsi="宋体"/>
        </w:rPr>
        <w:t>记录人：</w:t>
      </w:r>
    </w:p>
    <w:p>
      <w:pPr>
        <w:spacing w:line="360" w:lineRule="auto"/>
        <w:jc w:val="left"/>
        <w:rPr>
          <w:rFonts w:ascii="宋体" w:hAnsi="宋体"/>
        </w:rPr>
      </w:pPr>
      <w:r>
        <w:rPr>
          <w:rFonts w:hint="eastAsia" w:ascii="宋体" w:hAnsi="宋体"/>
        </w:rPr>
        <w:t>监标人：</w:t>
      </w:r>
    </w:p>
    <w:p>
      <w:pPr>
        <w:spacing w:line="360" w:lineRule="auto"/>
        <w:jc w:val="left"/>
        <w:rPr>
          <w:rFonts w:ascii="宋体" w:hAnsi="宋体"/>
        </w:rPr>
      </w:pPr>
    </w:p>
    <w:p>
      <w:pPr>
        <w:tabs>
          <w:tab w:val="left" w:pos="2940"/>
          <w:tab w:val="left" w:pos="5240"/>
        </w:tabs>
        <w:ind w:left="120"/>
        <w:jc w:val="left"/>
        <w:rPr>
          <w:rFonts w:ascii="宋体" w:hAnsi="宋体"/>
          <w:sz w:val="20"/>
        </w:rPr>
      </w:pPr>
    </w:p>
    <w:p>
      <w:pPr>
        <w:tabs>
          <w:tab w:val="left" w:pos="7580"/>
          <w:tab w:val="left" w:pos="8540"/>
        </w:tabs>
        <w:overflowPunct w:val="0"/>
        <w:jc w:val="right"/>
        <w:rPr>
          <w:rFonts w:ascii="宋体" w:hAnsi="宋体"/>
          <w:sz w:val="20"/>
        </w:rPr>
      </w:pPr>
      <w:r>
        <w:rPr>
          <w:rFonts w:hint="eastAsia" w:ascii="宋体" w:hAnsi="宋体"/>
        </w:rPr>
        <w:t xml:space="preserve">年     月    </w:t>
      </w:r>
      <w:r>
        <w:rPr>
          <w:rFonts w:hint="eastAsia" w:ascii="宋体" w:hAnsi="宋体"/>
          <w:sz w:val="20"/>
        </w:rPr>
        <w:t>日</w:t>
      </w:r>
    </w:p>
    <w:p>
      <w:pPr>
        <w:tabs>
          <w:tab w:val="left" w:pos="7580"/>
          <w:tab w:val="left" w:pos="8540"/>
        </w:tabs>
        <w:overflowPunct w:val="0"/>
        <w:ind w:left="6660"/>
        <w:jc w:val="left"/>
        <w:rPr>
          <w:rFonts w:ascii="宋体" w:hAnsi="宋体"/>
          <w:sz w:val="20"/>
        </w:rPr>
      </w:pPr>
    </w:p>
    <w:p>
      <w:pPr>
        <w:spacing w:line="200" w:lineRule="exact"/>
        <w:jc w:val="left"/>
        <w:rPr>
          <w:sz w:val="24"/>
        </w:rPr>
      </w:pPr>
    </w:p>
    <w:p>
      <w:pPr>
        <w:spacing w:line="200" w:lineRule="exact"/>
        <w:jc w:val="left"/>
        <w:rPr>
          <w:sz w:val="24"/>
        </w:rPr>
      </w:pPr>
    </w:p>
    <w:p>
      <w:pPr>
        <w:pStyle w:val="4"/>
        <w:rPr>
          <w:rFonts w:ascii="宋体" w:hAnsi="宋体"/>
          <w:sz w:val="28"/>
        </w:rPr>
      </w:pPr>
      <w:bookmarkStart w:id="8" w:name="_Toc31791878"/>
      <w:r>
        <w:rPr>
          <w:rFonts w:hint="eastAsia" w:ascii="宋体" w:hAnsi="宋体"/>
          <w:sz w:val="28"/>
        </w:rPr>
        <w:t>附件二：问题澄清通知</w:t>
      </w:r>
      <w:bookmarkEnd w:id="8"/>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adjustRightInd w:val="0"/>
        <w:snapToGrid w:val="0"/>
        <w:spacing w:line="360" w:lineRule="auto"/>
        <w:jc w:val="left"/>
        <w:rPr>
          <w:sz w:val="24"/>
        </w:rPr>
      </w:pPr>
    </w:p>
    <w:p>
      <w:pPr>
        <w:adjustRightInd w:val="0"/>
        <w:snapToGrid w:val="0"/>
        <w:spacing w:line="360" w:lineRule="auto"/>
        <w:ind w:left="3480"/>
        <w:jc w:val="left"/>
        <w:rPr>
          <w:b/>
          <w:sz w:val="24"/>
        </w:rPr>
      </w:pPr>
      <w:r>
        <w:rPr>
          <w:rFonts w:hint="eastAsia" w:ascii="宋体" w:hAnsi="宋体"/>
          <w:b/>
          <w:sz w:val="28"/>
        </w:rPr>
        <w:t>问题澄清通知</w:t>
      </w:r>
    </w:p>
    <w:p>
      <w:pPr>
        <w:adjustRightInd w:val="0"/>
        <w:snapToGrid w:val="0"/>
        <w:spacing w:line="360" w:lineRule="auto"/>
        <w:jc w:val="left"/>
        <w:rPr>
          <w:szCs w:val="21"/>
        </w:rPr>
      </w:pPr>
    </w:p>
    <w:p>
      <w:pPr>
        <w:tabs>
          <w:tab w:val="left" w:pos="5660"/>
        </w:tabs>
        <w:adjustRightInd w:val="0"/>
        <w:snapToGrid w:val="0"/>
        <w:spacing w:line="360" w:lineRule="auto"/>
        <w:ind w:left="2740"/>
        <w:jc w:val="left"/>
        <w:rPr>
          <w:rFonts w:ascii="宋体" w:hAnsi="宋体"/>
          <w:szCs w:val="21"/>
        </w:rPr>
      </w:pPr>
      <w:r>
        <w:rPr>
          <w:rFonts w:hint="eastAsia" w:ascii="宋体" w:hAnsi="宋体"/>
          <w:szCs w:val="21"/>
        </w:rPr>
        <w:t>（编号：                    ）</w:t>
      </w:r>
    </w:p>
    <w:p>
      <w:pPr>
        <w:tabs>
          <w:tab w:val="left" w:pos="5660"/>
        </w:tabs>
        <w:adjustRightInd w:val="0"/>
        <w:snapToGrid w:val="0"/>
        <w:spacing w:line="360" w:lineRule="auto"/>
        <w:ind w:left="2740"/>
        <w:jc w:val="left"/>
        <w:rPr>
          <w:rFonts w:ascii="宋体" w:hAnsi="宋体"/>
          <w:szCs w:val="21"/>
        </w:rPr>
      </w:pPr>
    </w:p>
    <w:p>
      <w:pPr>
        <w:adjustRightInd w:val="0"/>
        <w:snapToGrid w:val="0"/>
        <w:spacing w:line="360" w:lineRule="auto"/>
        <w:ind w:left="2200"/>
        <w:jc w:val="left"/>
        <w:rPr>
          <w:szCs w:val="21"/>
        </w:rPr>
      </w:pPr>
      <w:r>
        <w:rPr>
          <w:rFonts w:hint="eastAsia" w:ascii="宋体" w:hAnsi="宋体"/>
          <w:szCs w:val="21"/>
        </w:rPr>
        <w:t>（投标人名称）：</w:t>
      </w:r>
    </w:p>
    <w:p>
      <w:pPr>
        <w:adjustRightInd w:val="0"/>
        <w:snapToGrid w:val="0"/>
        <w:spacing w:line="360" w:lineRule="auto"/>
        <w:jc w:val="left"/>
        <w:rPr>
          <w:szCs w:val="21"/>
        </w:rPr>
      </w:pPr>
      <w:r>
        <w:rPr>
          <w:szCs w:val="21"/>
        </w:rPr>
        <mc:AlternateContent>
          <mc:Choice Requires="wps">
            <w:drawing>
              <wp:anchor distT="0" distB="0" distL="114300" distR="114300" simplePos="0" relativeHeight="251658240" behindDoc="1" locked="0" layoutInCell="1" allowOverlap="1">
                <wp:simplePos x="0" y="0"/>
                <wp:positionH relativeFrom="column">
                  <wp:posOffset>0</wp:posOffset>
                </wp:positionH>
                <wp:positionV relativeFrom="paragraph">
                  <wp:posOffset>1270</wp:posOffset>
                </wp:positionV>
                <wp:extent cx="1400810" cy="0"/>
                <wp:effectExtent l="0" t="0" r="0" b="0"/>
                <wp:wrapNone/>
                <wp:docPr id="1027" name="直接连接符 1027"/>
                <wp:cNvGraphicFramePr/>
                <a:graphic xmlns:a="http://schemas.openxmlformats.org/drawingml/2006/main">
                  <a:graphicData uri="http://schemas.microsoft.com/office/word/2010/wordprocessingShape">
                    <wps:wsp>
                      <wps:cNvCnPr/>
                      <wps:spPr>
                        <a:xfrm>
                          <a:off x="0" y="0"/>
                          <a:ext cx="1400810" cy="0"/>
                        </a:xfrm>
                        <a:prstGeom prst="line">
                          <a:avLst/>
                        </a:prstGeom>
                        <a:ln w="6400"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0pt;margin-top:0.1pt;height:0pt;width:110.3pt;z-index:-251658240;mso-width-relative:page;mso-height-relative:page;" filled="f" stroked="t" coordsize="21600,21600" o:gfxdata="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AlRBktEAAAACAQAADwAAAAAAAAAB&#10;ACAAAAAiAAAAZHJzL2Rvd25yZXYueG1sUEsBAhQAFAAAAAgAh07iQCkOz2/eAQAAqAMAAA4AAAAA&#10;AAAAAQAgAAAAIAEAAGRycy9lMm9Eb2MueG1sUEsFBgAAAAAGAAYAWQEAAHAFAAAAAA==&#10;">
                <v:fill on="f" focussize="0,0"/>
                <v:stroke weight="0.503937007874016pt" color="#000000" joinstyle="round"/>
                <v:imagedata o:title=""/>
                <o:lock v:ext="edit" aspectratio="f"/>
              </v:line>
            </w:pict>
          </mc:Fallback>
        </mc:AlternateContent>
      </w:r>
    </w:p>
    <w:p>
      <w:pPr>
        <w:adjustRightInd w:val="0"/>
        <w:snapToGrid w:val="0"/>
        <w:spacing w:line="360" w:lineRule="auto"/>
        <w:jc w:val="left"/>
        <w:rPr>
          <w:szCs w:val="21"/>
        </w:rPr>
      </w:pPr>
    </w:p>
    <w:p>
      <w:pPr>
        <w:overflowPunct w:val="0"/>
        <w:adjustRightInd w:val="0"/>
        <w:snapToGrid w:val="0"/>
        <w:spacing w:line="360" w:lineRule="auto"/>
        <w:ind w:firstLine="422"/>
        <w:jc w:val="left"/>
        <w:rPr>
          <w:szCs w:val="21"/>
        </w:rPr>
      </w:pPr>
      <w:r>
        <w:rPr>
          <w:rFonts w:hint="eastAsia" w:ascii="宋体" w:hAnsi="宋体"/>
          <w:szCs w:val="21"/>
        </w:rPr>
        <w:t>评标委员会对你方的投标文件进行了仔细的审查，现需你方对下列问题以书面形式予以澄清、说明或补正：</w:t>
      </w:r>
    </w:p>
    <w:p>
      <w:pPr>
        <w:adjustRightInd w:val="0"/>
        <w:snapToGrid w:val="0"/>
        <w:spacing w:line="360" w:lineRule="auto"/>
        <w:jc w:val="left"/>
        <w:rPr>
          <w:szCs w:val="21"/>
        </w:rPr>
      </w:pPr>
    </w:p>
    <w:p>
      <w:pPr>
        <w:adjustRightInd w:val="0"/>
        <w:snapToGrid w:val="0"/>
        <w:spacing w:line="360" w:lineRule="auto"/>
        <w:jc w:val="left"/>
        <w:rPr>
          <w:szCs w:val="21"/>
        </w:rPr>
      </w:pPr>
    </w:p>
    <w:p>
      <w:pPr>
        <w:adjustRightInd w:val="0"/>
        <w:snapToGrid w:val="0"/>
        <w:spacing w:line="360" w:lineRule="auto"/>
        <w:ind w:left="420"/>
        <w:jc w:val="left"/>
        <w:rPr>
          <w:szCs w:val="21"/>
        </w:rPr>
      </w:pPr>
      <w:r>
        <w:rPr>
          <w:rFonts w:eastAsia="Times New Roman"/>
          <w:szCs w:val="21"/>
        </w:rPr>
        <w:t>1.</w:t>
      </w:r>
    </w:p>
    <w:p>
      <w:pPr>
        <w:adjustRightInd w:val="0"/>
        <w:snapToGrid w:val="0"/>
        <w:spacing w:line="360" w:lineRule="auto"/>
        <w:jc w:val="left"/>
        <w:rPr>
          <w:szCs w:val="21"/>
        </w:rPr>
      </w:pPr>
    </w:p>
    <w:p>
      <w:pPr>
        <w:adjustRightInd w:val="0"/>
        <w:snapToGrid w:val="0"/>
        <w:spacing w:line="360" w:lineRule="auto"/>
        <w:ind w:left="420"/>
        <w:jc w:val="left"/>
        <w:rPr>
          <w:rFonts w:eastAsia="Times New Roman"/>
          <w:szCs w:val="21"/>
        </w:rPr>
      </w:pPr>
      <w:r>
        <w:rPr>
          <w:rFonts w:eastAsia="Times New Roman"/>
          <w:szCs w:val="21"/>
        </w:rPr>
        <w:t>2.</w:t>
      </w:r>
    </w:p>
    <w:p>
      <w:pPr>
        <w:adjustRightInd w:val="0"/>
        <w:snapToGrid w:val="0"/>
        <w:spacing w:line="360" w:lineRule="auto"/>
        <w:ind w:left="420"/>
        <w:jc w:val="left"/>
        <w:rPr>
          <w:rFonts w:eastAsia="Times New Roman"/>
          <w:szCs w:val="21"/>
        </w:rPr>
      </w:pPr>
    </w:p>
    <w:p>
      <w:pPr>
        <w:adjustRightInd w:val="0"/>
        <w:snapToGrid w:val="0"/>
        <w:spacing w:line="360" w:lineRule="auto"/>
        <w:ind w:left="420"/>
        <w:jc w:val="left"/>
        <w:rPr>
          <w:szCs w:val="21"/>
        </w:rPr>
      </w:pPr>
      <w:r>
        <w:rPr>
          <w:rFonts w:hint="eastAsia"/>
          <w:szCs w:val="21"/>
        </w:rPr>
        <w:t>……</w:t>
      </w:r>
    </w:p>
    <w:p>
      <w:pPr>
        <w:adjustRightInd w:val="0"/>
        <w:snapToGrid w:val="0"/>
        <w:spacing w:line="360" w:lineRule="auto"/>
        <w:ind w:left="420"/>
        <w:jc w:val="left"/>
        <w:rPr>
          <w:szCs w:val="21"/>
        </w:rPr>
      </w:pPr>
    </w:p>
    <w:p>
      <w:pPr>
        <w:adjustRightInd w:val="0"/>
        <w:snapToGrid w:val="0"/>
        <w:spacing w:line="360" w:lineRule="auto"/>
        <w:jc w:val="left"/>
        <w:rPr>
          <w:szCs w:val="21"/>
        </w:rPr>
      </w:pPr>
      <w:r>
        <w:rPr>
          <w:szCs w:val="21"/>
        </w:rPr>
        <w:tab/>
      </w:r>
      <w:r>
        <w:rPr>
          <w:szCs w:val="21"/>
        </w:rPr>
        <w:tab/>
      </w:r>
      <w:r>
        <w:rPr>
          <w:szCs w:val="21"/>
        </w:rPr>
        <w:tab/>
      </w:r>
      <w:r>
        <w:rPr>
          <w:szCs w:val="21"/>
        </w:rPr>
        <w:tab/>
      </w:r>
      <w:r>
        <w:rPr>
          <w:szCs w:val="21"/>
        </w:rPr>
        <w:tab/>
      </w:r>
      <w:r>
        <w:rPr>
          <w:szCs w:val="21"/>
        </w:rPr>
        <w:tab/>
      </w:r>
    </w:p>
    <w:p>
      <w:pPr>
        <w:adjustRightInd w:val="0"/>
        <w:snapToGrid w:val="0"/>
        <w:spacing w:line="360" w:lineRule="auto"/>
        <w:ind w:firstLine="420" w:firstLineChars="200"/>
        <w:jc w:val="left"/>
        <w:rPr>
          <w:szCs w:val="21"/>
        </w:rPr>
      </w:pPr>
      <w:r>
        <w:rPr>
          <w:szCs w:val="21"/>
        </w:rPr>
        <w:t>请将上述问题的澄清、说明或补正于</w:t>
      </w:r>
      <w:r>
        <w:rPr>
          <w:szCs w:val="21"/>
          <w:u w:val="single"/>
        </w:rPr>
        <w:tab/>
      </w:r>
      <w:r>
        <w:rPr>
          <w:szCs w:val="21"/>
        </w:rPr>
        <w:t>年</w:t>
      </w:r>
      <w:r>
        <w:rPr>
          <w:szCs w:val="21"/>
          <w:u w:val="single"/>
        </w:rPr>
        <w:tab/>
      </w:r>
      <w:r>
        <w:rPr>
          <w:szCs w:val="21"/>
        </w:rPr>
        <w:t>月</w:t>
      </w:r>
      <w:r>
        <w:rPr>
          <w:szCs w:val="21"/>
          <w:u w:val="single"/>
        </w:rPr>
        <w:tab/>
      </w:r>
      <w:r>
        <w:rPr>
          <w:szCs w:val="21"/>
        </w:rPr>
        <w:t>日</w:t>
      </w:r>
      <w:r>
        <w:rPr>
          <w:szCs w:val="21"/>
          <w:u w:val="single"/>
        </w:rPr>
        <w:tab/>
      </w:r>
      <w:r>
        <w:rPr>
          <w:szCs w:val="21"/>
        </w:rPr>
        <w:t>时前递交至</w:t>
      </w:r>
      <w:r>
        <w:rPr>
          <w:szCs w:val="21"/>
          <w:u w:val="single"/>
        </w:rPr>
        <w:t>（详细地址）</w:t>
      </w:r>
      <w:r>
        <w:rPr>
          <w:szCs w:val="21"/>
        </w:rPr>
        <w:t>或传真至</w:t>
      </w:r>
      <w:r>
        <w:rPr>
          <w:szCs w:val="21"/>
          <w:u w:val="single"/>
        </w:rPr>
        <w:t>（传真号码）</w:t>
      </w:r>
      <w:r>
        <w:rPr>
          <w:rFonts w:hint="eastAsia"/>
          <w:szCs w:val="21"/>
        </w:rPr>
        <w:t>。</w:t>
      </w:r>
      <w:r>
        <w:rPr>
          <w:szCs w:val="21"/>
        </w:rPr>
        <w:t>采用传真方式的，应在</w:t>
      </w:r>
      <w:r>
        <w:rPr>
          <w:szCs w:val="21"/>
          <w:u w:val="single"/>
        </w:rPr>
        <w:tab/>
      </w:r>
      <w:r>
        <w:rPr>
          <w:szCs w:val="21"/>
        </w:rPr>
        <w:t>年</w:t>
      </w:r>
      <w:r>
        <w:rPr>
          <w:szCs w:val="21"/>
          <w:u w:val="single"/>
        </w:rPr>
        <w:tab/>
      </w:r>
      <w:r>
        <w:rPr>
          <w:szCs w:val="21"/>
        </w:rPr>
        <w:t>月</w:t>
      </w:r>
      <w:r>
        <w:rPr>
          <w:szCs w:val="21"/>
          <w:u w:val="single"/>
        </w:rPr>
        <w:tab/>
      </w:r>
      <w:r>
        <w:rPr>
          <w:szCs w:val="21"/>
        </w:rPr>
        <w:t>日</w:t>
      </w:r>
      <w:r>
        <w:rPr>
          <w:szCs w:val="21"/>
          <w:u w:val="single"/>
        </w:rPr>
        <w:tab/>
      </w:r>
      <w:r>
        <w:rPr>
          <w:szCs w:val="21"/>
        </w:rPr>
        <w:t>时前将原件递交至</w:t>
      </w:r>
      <w:r>
        <w:rPr>
          <w:szCs w:val="21"/>
          <w:u w:val="single"/>
        </w:rPr>
        <w:t>（详细地址）</w:t>
      </w:r>
      <w:r>
        <w:rPr>
          <w:szCs w:val="21"/>
        </w:rPr>
        <w:t>。</w:t>
      </w:r>
      <w:r>
        <w:rPr>
          <w:szCs w:val="21"/>
        </w:rPr>
        <w:tab/>
      </w:r>
      <w:r>
        <w:rPr>
          <w:szCs w:val="21"/>
        </w:rPr>
        <w:tab/>
      </w:r>
    </w:p>
    <w:p>
      <w:pPr>
        <w:adjustRightInd w:val="0"/>
        <w:snapToGrid w:val="0"/>
        <w:spacing w:line="360" w:lineRule="auto"/>
        <w:jc w:val="left"/>
        <w:rPr>
          <w:szCs w:val="21"/>
        </w:rPr>
      </w:pPr>
    </w:p>
    <w:p>
      <w:pPr>
        <w:tabs>
          <w:tab w:val="left" w:pos="6920"/>
        </w:tabs>
        <w:adjustRightInd w:val="0"/>
        <w:snapToGrid w:val="0"/>
        <w:spacing w:line="360" w:lineRule="auto"/>
        <w:ind w:left="2100"/>
        <w:jc w:val="left"/>
        <w:rPr>
          <w:szCs w:val="21"/>
        </w:rPr>
      </w:pPr>
      <w:r>
        <w:rPr>
          <w:rFonts w:hint="eastAsia" w:ascii="宋体" w:hAnsi="宋体"/>
          <w:szCs w:val="21"/>
        </w:rPr>
        <w:t>评标委员会授权的招标人或招标代理机构：（签字或盖章）</w:t>
      </w:r>
    </w:p>
    <w:p>
      <w:pPr>
        <w:adjustRightInd w:val="0"/>
        <w:snapToGrid w:val="0"/>
        <w:spacing w:line="360" w:lineRule="auto"/>
        <w:jc w:val="left"/>
        <w:rPr>
          <w:szCs w:val="21"/>
        </w:rPr>
      </w:pPr>
    </w:p>
    <w:p>
      <w:pPr>
        <w:adjustRightInd w:val="0"/>
        <w:snapToGrid w:val="0"/>
        <w:spacing w:line="360" w:lineRule="auto"/>
        <w:jc w:val="left"/>
        <w:rPr>
          <w:szCs w:val="21"/>
        </w:rPr>
      </w:pPr>
    </w:p>
    <w:p>
      <w:pPr>
        <w:adjustRightInd w:val="0"/>
        <w:snapToGrid w:val="0"/>
        <w:spacing w:line="360" w:lineRule="auto"/>
        <w:jc w:val="left"/>
        <w:rPr>
          <w:szCs w:val="21"/>
        </w:rPr>
      </w:pPr>
    </w:p>
    <w:p>
      <w:pPr>
        <w:tabs>
          <w:tab w:val="left" w:pos="6620"/>
          <w:tab w:val="left" w:pos="7580"/>
        </w:tabs>
        <w:adjustRightInd w:val="0"/>
        <w:snapToGrid w:val="0"/>
        <w:spacing w:line="360" w:lineRule="auto"/>
        <w:ind w:left="5700"/>
        <w:jc w:val="left"/>
        <w:rPr>
          <w:rFonts w:ascii="宋体" w:hAnsi="宋体"/>
          <w:szCs w:val="21"/>
        </w:rPr>
      </w:pPr>
      <w:r>
        <w:rPr>
          <w:rFonts w:hint="eastAsia" w:ascii="宋体" w:hAnsi="宋体"/>
          <w:szCs w:val="21"/>
        </w:rPr>
        <w:t>年</w:t>
      </w:r>
      <w:r>
        <w:rPr>
          <w:szCs w:val="21"/>
        </w:rPr>
        <w:tab/>
      </w:r>
      <w:r>
        <w:rPr>
          <w:rFonts w:hint="eastAsia" w:ascii="宋体" w:hAnsi="宋体"/>
          <w:szCs w:val="21"/>
        </w:rPr>
        <w:t>月</w:t>
      </w:r>
      <w:r>
        <w:rPr>
          <w:szCs w:val="21"/>
        </w:rPr>
        <w:tab/>
      </w:r>
      <w:r>
        <w:rPr>
          <w:rFonts w:hint="eastAsia" w:ascii="宋体" w:hAnsi="宋体"/>
          <w:szCs w:val="21"/>
        </w:rPr>
        <w:t>日</w:t>
      </w:r>
    </w:p>
    <w:p>
      <w:pPr>
        <w:tabs>
          <w:tab w:val="left" w:pos="6620"/>
          <w:tab w:val="left" w:pos="7580"/>
        </w:tabs>
        <w:ind w:left="5700"/>
        <w:jc w:val="left"/>
        <w:rPr>
          <w:rFonts w:ascii="宋体" w:hAnsi="宋体"/>
          <w:szCs w:val="21"/>
        </w:rPr>
      </w:pPr>
    </w:p>
    <w:p>
      <w:pPr>
        <w:spacing w:line="200" w:lineRule="exact"/>
        <w:jc w:val="left"/>
        <w:rPr>
          <w:sz w:val="24"/>
        </w:rPr>
      </w:pPr>
    </w:p>
    <w:p>
      <w:pPr>
        <w:spacing w:line="200" w:lineRule="exact"/>
        <w:jc w:val="left"/>
        <w:rPr>
          <w:sz w:val="24"/>
        </w:rPr>
      </w:pPr>
    </w:p>
    <w:p>
      <w:pPr>
        <w:spacing w:line="2" w:lineRule="exact"/>
        <w:jc w:val="left"/>
        <w:rPr>
          <w:sz w:val="24"/>
        </w:rPr>
      </w:pPr>
      <w:bookmarkStart w:id="9" w:name="page35"/>
      <w:bookmarkEnd w:id="9"/>
    </w:p>
    <w:p>
      <w:pPr>
        <w:pStyle w:val="4"/>
        <w:spacing w:before="0" w:after="0" w:line="500" w:lineRule="exact"/>
        <w:rPr>
          <w:b w:val="0"/>
          <w:sz w:val="24"/>
        </w:rPr>
      </w:pPr>
      <w:r>
        <w:rPr>
          <w:rFonts w:hint="eastAsia" w:ascii="宋体" w:hAnsi="宋体"/>
          <w:sz w:val="28"/>
        </w:rPr>
        <w:br w:type="page"/>
      </w:r>
      <w:bookmarkStart w:id="10" w:name="_Toc31791879"/>
      <w:r>
        <w:rPr>
          <w:rFonts w:hint="eastAsia" w:ascii="宋体" w:hAnsi="宋体"/>
          <w:sz w:val="28"/>
        </w:rPr>
        <w:t>附件三：问题的澄清</w:t>
      </w:r>
      <w:bookmarkEnd w:id="10"/>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2" w:lineRule="exact"/>
        <w:jc w:val="left"/>
        <w:rPr>
          <w:sz w:val="24"/>
        </w:rPr>
      </w:pPr>
    </w:p>
    <w:p>
      <w:pPr>
        <w:spacing w:line="239" w:lineRule="auto"/>
        <w:ind w:left="3620"/>
        <w:jc w:val="left"/>
        <w:rPr>
          <w:b/>
          <w:sz w:val="24"/>
        </w:rPr>
      </w:pPr>
      <w:r>
        <w:rPr>
          <w:rFonts w:hint="eastAsia" w:ascii="宋体" w:hAnsi="宋体"/>
          <w:b/>
          <w:sz w:val="28"/>
        </w:rPr>
        <w:t>问题的澄清</w:t>
      </w:r>
    </w:p>
    <w:p>
      <w:pPr>
        <w:spacing w:line="150" w:lineRule="exact"/>
        <w:jc w:val="left"/>
        <w:rPr>
          <w:sz w:val="24"/>
        </w:rPr>
      </w:pPr>
    </w:p>
    <w:p>
      <w:pPr>
        <w:tabs>
          <w:tab w:val="left" w:pos="5820"/>
        </w:tabs>
        <w:spacing w:line="239" w:lineRule="auto"/>
        <w:ind w:left="3460"/>
        <w:jc w:val="left"/>
        <w:rPr>
          <w:sz w:val="24"/>
        </w:rPr>
      </w:pPr>
      <w:r>
        <w:rPr>
          <w:rFonts w:hint="eastAsia" w:ascii="宋体" w:hAnsi="宋体"/>
        </w:rPr>
        <w:t>（编号：</w:t>
      </w:r>
      <w:r>
        <w:rPr>
          <w:sz w:val="24"/>
        </w:rPr>
        <w:tab/>
      </w:r>
      <w:r>
        <w:rPr>
          <w:rFonts w:hint="eastAsia" w:ascii="宋体" w:hAnsi="宋体"/>
        </w:rPr>
        <w:t>）</w:t>
      </w:r>
    </w:p>
    <w:p>
      <w:pPr>
        <w:spacing w:line="200" w:lineRule="exact"/>
        <w:jc w:val="left"/>
        <w:rPr>
          <w:sz w:val="24"/>
        </w:rPr>
      </w:pPr>
      <w:r>
        <w:rPr>
          <w:sz w:val="24"/>
        </w:rPr>
        <mc:AlternateContent>
          <mc:Choice Requires="wps">
            <w:drawing>
              <wp:anchor distT="0" distB="0" distL="114300" distR="114300" simplePos="0" relativeHeight="251659264" behindDoc="1" locked="0" layoutInCell="1" allowOverlap="1">
                <wp:simplePos x="0" y="0"/>
                <wp:positionH relativeFrom="column">
                  <wp:posOffset>2736215</wp:posOffset>
                </wp:positionH>
                <wp:positionV relativeFrom="paragraph">
                  <wp:posOffset>6985</wp:posOffset>
                </wp:positionV>
                <wp:extent cx="976630" cy="0"/>
                <wp:effectExtent l="0" t="0" r="0" b="0"/>
                <wp:wrapNone/>
                <wp:docPr id="1029" name="直接连接符 1029"/>
                <wp:cNvGraphicFramePr/>
                <a:graphic xmlns:a="http://schemas.openxmlformats.org/drawingml/2006/main">
                  <a:graphicData uri="http://schemas.microsoft.com/office/word/2010/wordprocessingShape">
                    <wps:wsp>
                      <wps:cNvCnPr/>
                      <wps:spPr>
                        <a:xfrm>
                          <a:off x="0" y="0"/>
                          <a:ext cx="976629" cy="0"/>
                        </a:xfrm>
                        <a:prstGeom prst="line">
                          <a:avLst/>
                        </a:prstGeom>
                        <a:ln w="9144"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215.45pt;margin-top:0.55pt;height:0pt;width:76.9pt;z-index:-251657216;mso-width-relative:page;mso-height-relative:page;" filled="f" stroked="t" coordsize="21600,21600" o:gfxdata="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RrLaM1AAAAAcBAAAPAAAAAAAA&#10;AAEAIAAAACIAAABkcnMvZG93bnJldi54bWxQSwECFAAUAAAACACHTuJArLgeBd0BAACnAwAADgAA&#10;AAAAAAABACAAAAAjAQAAZHJzL2Uyb0RvYy54bWxQSwUGAAAAAAYABgBZAQAAcgUAAAAA&#10;">
                <v:fill on="f" focussize="0,0"/>
                <v:stroke weight="0.72pt" color="#000000" joinstyle="round"/>
                <v:imagedata o:title=""/>
                <o:lock v:ext="edit" aspectratio="f"/>
              </v:line>
            </w:pict>
          </mc:Fallback>
        </mc:AlternateContent>
      </w:r>
    </w:p>
    <w:p>
      <w:pPr>
        <w:spacing w:line="397" w:lineRule="exact"/>
        <w:jc w:val="left"/>
        <w:rPr>
          <w:sz w:val="24"/>
        </w:rPr>
      </w:pPr>
    </w:p>
    <w:p>
      <w:pPr>
        <w:spacing w:line="239" w:lineRule="auto"/>
        <w:jc w:val="left"/>
        <w:rPr>
          <w:sz w:val="24"/>
        </w:rPr>
      </w:pPr>
      <w:r>
        <w:rPr>
          <w:rFonts w:hint="eastAsia" w:ascii="宋体" w:hAnsi="宋体"/>
        </w:rPr>
        <w:t>评标委员会：</w:t>
      </w:r>
    </w:p>
    <w:p>
      <w:pPr>
        <w:spacing w:line="200" w:lineRule="exact"/>
        <w:jc w:val="left"/>
        <w:rPr>
          <w:sz w:val="24"/>
        </w:rPr>
      </w:pPr>
    </w:p>
    <w:p>
      <w:pPr>
        <w:spacing w:line="200" w:lineRule="exact"/>
        <w:jc w:val="left"/>
        <w:rPr>
          <w:sz w:val="24"/>
        </w:rPr>
      </w:pPr>
    </w:p>
    <w:p>
      <w:pPr>
        <w:spacing w:line="240" w:lineRule="exact"/>
        <w:jc w:val="left"/>
        <w:rPr>
          <w:sz w:val="24"/>
        </w:rPr>
      </w:pPr>
    </w:p>
    <w:p>
      <w:pPr>
        <w:tabs>
          <w:tab w:val="left" w:pos="3340"/>
        </w:tabs>
        <w:spacing w:line="239" w:lineRule="auto"/>
        <w:ind w:left="420"/>
        <w:jc w:val="left"/>
        <w:rPr>
          <w:sz w:val="24"/>
        </w:rPr>
      </w:pPr>
      <w:r>
        <w:rPr>
          <w:rFonts w:hint="eastAsia" w:ascii="宋体" w:hAnsi="宋体"/>
        </w:rPr>
        <w:t>问题澄清通知（编号：</w:t>
      </w:r>
      <w:r>
        <w:rPr>
          <w:sz w:val="24"/>
        </w:rPr>
        <w:tab/>
      </w:r>
      <w:r>
        <w:rPr>
          <w:rFonts w:hint="eastAsia" w:ascii="宋体" w:hAnsi="宋体"/>
        </w:rPr>
        <w:t>）已收悉，现澄清、说明或补正如下：</w:t>
      </w:r>
    </w:p>
    <w:p>
      <w:pPr>
        <w:spacing w:line="217" w:lineRule="exact"/>
        <w:jc w:val="left"/>
        <w:rPr>
          <w:sz w:val="24"/>
        </w:rPr>
      </w:pPr>
      <w:r>
        <w:rPr>
          <w:sz w:val="24"/>
        </w:rPr>
        <mc:AlternateContent>
          <mc:Choice Requires="wps">
            <w:drawing>
              <wp:anchor distT="0" distB="0" distL="114300" distR="114300" simplePos="0" relativeHeight="251660288" behindDoc="1" locked="0" layoutInCell="1" allowOverlap="1">
                <wp:simplePos x="0" y="0"/>
                <wp:positionH relativeFrom="column">
                  <wp:posOffset>1602105</wp:posOffset>
                </wp:positionH>
                <wp:positionV relativeFrom="paragraph">
                  <wp:posOffset>6985</wp:posOffset>
                </wp:positionV>
                <wp:extent cx="531495" cy="0"/>
                <wp:effectExtent l="0" t="0" r="0" b="0"/>
                <wp:wrapNone/>
                <wp:docPr id="1030" name="直接连接符 1030"/>
                <wp:cNvGraphicFramePr/>
                <a:graphic xmlns:a="http://schemas.openxmlformats.org/drawingml/2006/main">
                  <a:graphicData uri="http://schemas.microsoft.com/office/word/2010/wordprocessingShape">
                    <wps:wsp>
                      <wps:cNvCnPr/>
                      <wps:spPr>
                        <a:xfrm>
                          <a:off x="0" y="0"/>
                          <a:ext cx="531495" cy="0"/>
                        </a:xfrm>
                        <a:prstGeom prst="line">
                          <a:avLst/>
                        </a:prstGeom>
                        <a:ln w="9144"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126.15pt;margin-top:0.55pt;height:0pt;width:41.85pt;z-index:-251656192;mso-width-relative:page;mso-height-relative:page;" filled="f" stroked="t" coordsize="21600,21600" o:gfxdata="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mWSlitMAAAAHAQAADwAAAAAA&#10;AAABACAAAAAiAAAAZHJzL2Rvd25yZXYueG1sUEsBAhQAFAAAAAgAh07iQGrwA4vfAQAApwMAAA4A&#10;AAAAAAAAAQAgAAAAIgEAAGRycy9lMm9Eb2MueG1sUEsFBgAAAAAGAAYAWQEAAHMFAAAAAA==&#10;">
                <v:fill on="f" focussize="0,0"/>
                <v:stroke weight="0.72pt" color="#000000" joinstyle="round"/>
                <v:imagedata o:title=""/>
                <o:lock v:ext="edit" aspectratio="f"/>
              </v:line>
            </w:pict>
          </mc:Fallback>
        </mc:AlternateContent>
      </w:r>
    </w:p>
    <w:p>
      <w:pPr>
        <w:spacing w:line="239" w:lineRule="auto"/>
        <w:ind w:left="740"/>
        <w:jc w:val="left"/>
        <w:rPr>
          <w:sz w:val="24"/>
        </w:rPr>
      </w:pPr>
      <w:r>
        <w:rPr>
          <w:rFonts w:eastAsia="Times New Roman"/>
        </w:rPr>
        <w:t>1.</w:t>
      </w:r>
    </w:p>
    <w:p>
      <w:pPr>
        <w:spacing w:line="199" w:lineRule="exact"/>
        <w:jc w:val="left"/>
        <w:rPr>
          <w:sz w:val="24"/>
        </w:rPr>
      </w:pPr>
    </w:p>
    <w:p>
      <w:pPr>
        <w:spacing w:line="239" w:lineRule="auto"/>
        <w:ind w:left="740"/>
        <w:jc w:val="left"/>
        <w:rPr>
          <w:sz w:val="24"/>
        </w:rPr>
      </w:pPr>
      <w:r>
        <w:rPr>
          <w:rFonts w:eastAsia="Times New Roman"/>
        </w:rPr>
        <w:t>2.</w:t>
      </w:r>
    </w:p>
    <w:p>
      <w:pPr>
        <w:spacing w:line="199" w:lineRule="exact"/>
        <w:jc w:val="left"/>
        <w:rPr>
          <w:sz w:val="24"/>
        </w:rPr>
      </w:pPr>
    </w:p>
    <w:p>
      <w:pPr>
        <w:spacing w:line="239" w:lineRule="auto"/>
        <w:ind w:left="640"/>
        <w:jc w:val="left"/>
        <w:rPr>
          <w:sz w:val="24"/>
        </w:rPr>
      </w:pPr>
      <w:r>
        <w:rPr>
          <w:rFonts w:eastAsia="Times New Roman"/>
        </w:rPr>
        <w:t>.....</w:t>
      </w: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307" w:lineRule="exact"/>
        <w:jc w:val="left"/>
        <w:rPr>
          <w:sz w:val="24"/>
        </w:rPr>
      </w:pPr>
    </w:p>
    <w:p>
      <w:pPr>
        <w:spacing w:line="239" w:lineRule="auto"/>
        <w:ind w:left="420"/>
        <w:jc w:val="left"/>
        <w:rPr>
          <w:sz w:val="24"/>
        </w:rPr>
      </w:pPr>
      <w:r>
        <w:rPr>
          <w:rFonts w:hint="eastAsia" w:ascii="宋体" w:hAnsi="宋体"/>
        </w:rPr>
        <w:t>上述问题澄清、说明或补正，不改变我方投标文件的实质性内容，构成我方投标文件的组</w:t>
      </w:r>
    </w:p>
    <w:p>
      <w:pPr>
        <w:spacing w:line="201" w:lineRule="exact"/>
        <w:jc w:val="left"/>
        <w:rPr>
          <w:sz w:val="24"/>
        </w:rPr>
      </w:pPr>
    </w:p>
    <w:p>
      <w:pPr>
        <w:spacing w:line="239" w:lineRule="auto"/>
        <w:jc w:val="left"/>
        <w:rPr>
          <w:sz w:val="24"/>
        </w:rPr>
      </w:pPr>
      <w:r>
        <w:rPr>
          <w:rFonts w:hint="eastAsia" w:ascii="宋体" w:hAnsi="宋体"/>
        </w:rPr>
        <w:t>成部分。</w:t>
      </w:r>
    </w:p>
    <w:p>
      <w:pPr>
        <w:spacing w:line="200" w:lineRule="exact"/>
        <w:jc w:val="left"/>
        <w:rPr>
          <w:sz w:val="24"/>
        </w:rPr>
      </w:pPr>
    </w:p>
    <w:p>
      <w:pPr>
        <w:spacing w:line="200" w:lineRule="exact"/>
        <w:jc w:val="left"/>
        <w:rPr>
          <w:sz w:val="24"/>
        </w:rPr>
      </w:pPr>
    </w:p>
    <w:p>
      <w:pPr>
        <w:spacing w:line="200" w:lineRule="exact"/>
        <w:jc w:val="left"/>
        <w:rPr>
          <w:sz w:val="24"/>
        </w:rPr>
      </w:pPr>
    </w:p>
    <w:p>
      <w:pPr>
        <w:tabs>
          <w:tab w:val="left" w:pos="7260"/>
        </w:tabs>
        <w:spacing w:line="239" w:lineRule="auto"/>
        <w:ind w:firstLine="1995" w:firstLineChars="950"/>
        <w:jc w:val="left"/>
        <w:rPr>
          <w:sz w:val="24"/>
        </w:rPr>
      </w:pPr>
      <w:r>
        <w:rPr>
          <w:rFonts w:hint="eastAsia" w:ascii="宋体" w:hAnsi="宋体"/>
        </w:rPr>
        <w:t>投标人：（盖单位章）</w:t>
      </w:r>
    </w:p>
    <w:p>
      <w:pPr>
        <w:spacing w:line="306" w:lineRule="exact"/>
        <w:jc w:val="left"/>
        <w:rPr>
          <w:sz w:val="24"/>
        </w:rPr>
      </w:pPr>
    </w:p>
    <w:p>
      <w:pPr>
        <w:tabs>
          <w:tab w:val="left" w:pos="7155"/>
        </w:tabs>
        <w:overflowPunct w:val="0"/>
        <w:spacing w:line="239" w:lineRule="auto"/>
        <w:ind w:firstLine="105" w:firstLineChars="50"/>
        <w:jc w:val="left"/>
        <w:rPr>
          <w:sz w:val="24"/>
        </w:rPr>
      </w:pPr>
      <w:r>
        <w:rPr>
          <w:rFonts w:hint="eastAsia" w:ascii="宋体" w:hAnsi="宋体"/>
        </w:rPr>
        <w:t>法定代表人（单位负责人）或其委托代理人：</w:t>
      </w:r>
      <w:r>
        <w:rPr>
          <w:sz w:val="24"/>
          <w:u w:val="single"/>
        </w:rPr>
        <w:tab/>
      </w:r>
      <w:r>
        <w:rPr>
          <w:rFonts w:hint="eastAsia" w:ascii="宋体" w:hAnsi="宋体"/>
        </w:rPr>
        <w:t>（签字）</w:t>
      </w:r>
    </w:p>
    <w:p>
      <w:pPr>
        <w:spacing w:line="200" w:lineRule="exact"/>
        <w:jc w:val="left"/>
        <w:rPr>
          <w:sz w:val="24"/>
        </w:rPr>
      </w:pPr>
    </w:p>
    <w:p>
      <w:pPr>
        <w:spacing w:line="200" w:lineRule="exact"/>
        <w:jc w:val="left"/>
        <w:rPr>
          <w:sz w:val="24"/>
        </w:rPr>
      </w:pPr>
    </w:p>
    <w:p>
      <w:pPr>
        <w:spacing w:line="200" w:lineRule="exact"/>
        <w:jc w:val="left"/>
        <w:rPr>
          <w:sz w:val="24"/>
        </w:rPr>
      </w:pPr>
    </w:p>
    <w:p>
      <w:pPr>
        <w:tabs>
          <w:tab w:val="left" w:pos="7360"/>
          <w:tab w:val="left" w:pos="8420"/>
        </w:tabs>
        <w:ind w:firstLine="4620" w:firstLineChars="2200"/>
        <w:jc w:val="left"/>
        <w:rPr>
          <w:sz w:val="24"/>
        </w:rPr>
      </w:pPr>
      <w:r>
        <w:rPr>
          <w:rFonts w:hint="eastAsia" w:ascii="宋体" w:hAnsi="宋体"/>
        </w:rPr>
        <w:t xml:space="preserve">年     月    </w:t>
      </w:r>
      <w:r>
        <w:rPr>
          <w:rFonts w:hint="eastAsia" w:ascii="宋体" w:hAnsi="宋体"/>
          <w:sz w:val="20"/>
        </w:rPr>
        <w:t>日</w:t>
      </w: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pStyle w:val="4"/>
        <w:spacing w:before="0" w:after="0" w:line="500" w:lineRule="exact"/>
        <w:rPr>
          <w:b w:val="0"/>
          <w:sz w:val="24"/>
        </w:rPr>
      </w:pPr>
      <w:r>
        <w:rPr>
          <w:sz w:val="24"/>
        </w:rPr>
        <w:br w:type="page"/>
      </w:r>
      <w:bookmarkStart w:id="11" w:name="_Toc31791880"/>
      <w:r>
        <w:rPr>
          <w:rFonts w:hint="eastAsia" w:ascii="宋体" w:hAnsi="宋体"/>
          <w:sz w:val="28"/>
        </w:rPr>
        <w:t>附件四：中标通知书</w:t>
      </w:r>
      <w:bookmarkEnd w:id="11"/>
    </w:p>
    <w:p>
      <w:pPr>
        <w:spacing w:before="120" w:beforeLines="50" w:after="120" w:afterLines="50"/>
        <w:jc w:val="center"/>
        <w:rPr>
          <w:rFonts w:ascii="宋体" w:hAnsi="宋体"/>
          <w:sz w:val="30"/>
          <w:szCs w:val="30"/>
        </w:rPr>
      </w:pPr>
      <w:r>
        <w:rPr>
          <w:rFonts w:hint="eastAsia" w:ascii="黑体" w:hAnsi="宋体" w:eastAsia="黑体"/>
          <w:b/>
          <w:bCs/>
          <w:sz w:val="32"/>
          <w:szCs w:val="32"/>
        </w:rPr>
        <w:t>中标通知书</w:t>
      </w:r>
    </w:p>
    <w:p>
      <w:pPr>
        <w:spacing w:line="360" w:lineRule="auto"/>
        <w:rPr>
          <w:bCs/>
          <w:sz w:val="26"/>
          <w:szCs w:val="26"/>
        </w:rPr>
      </w:pPr>
    </w:p>
    <w:p>
      <w:pPr>
        <w:spacing w:line="360" w:lineRule="auto"/>
        <w:rPr>
          <w:rFonts w:ascii="宋体" w:hAnsi="宋体"/>
          <w:bCs/>
          <w:szCs w:val="21"/>
          <w:u w:val="single"/>
        </w:rPr>
      </w:pPr>
      <w:r>
        <w:rPr>
          <w:rFonts w:hint="eastAsia" w:ascii="宋体" w:hAnsi="宋体"/>
          <w:bCs/>
          <w:szCs w:val="21"/>
          <w:u w:val="single"/>
        </w:rPr>
        <w:t xml:space="preserve">            （中标人名称）：</w:t>
      </w:r>
    </w:p>
    <w:p>
      <w:pPr>
        <w:spacing w:line="360" w:lineRule="auto"/>
        <w:ind w:firstLine="420" w:firstLineChars="200"/>
        <w:rPr>
          <w:rFonts w:ascii="宋体" w:hAnsi="宋体"/>
          <w:bCs/>
          <w:szCs w:val="21"/>
        </w:rPr>
      </w:pPr>
      <w:r>
        <w:rPr>
          <w:rFonts w:hint="eastAsia" w:ascii="宋体" w:hAnsi="宋体"/>
          <w:bCs/>
          <w:szCs w:val="21"/>
        </w:rPr>
        <w:t>你方于 年月日所递交的（项目名称）设备采购招标的的投标文件已被我方接受，被确定为中标人。</w:t>
      </w:r>
    </w:p>
    <w:p>
      <w:pPr>
        <w:spacing w:line="360" w:lineRule="auto"/>
        <w:ind w:firstLine="420" w:firstLineChars="200"/>
        <w:rPr>
          <w:rFonts w:ascii="宋体" w:hAnsi="宋体"/>
          <w:bCs/>
          <w:szCs w:val="21"/>
        </w:rPr>
      </w:pPr>
      <w:r>
        <w:rPr>
          <w:rFonts w:hint="eastAsia" w:ascii="宋体" w:hAnsi="宋体"/>
          <w:bCs/>
          <w:szCs w:val="21"/>
        </w:rPr>
        <w:t>中标价：</w:t>
      </w:r>
      <w:r>
        <w:rPr>
          <w:rFonts w:hint="eastAsia" w:ascii="宋体" w:hAnsi="宋体"/>
          <w:bCs/>
          <w:szCs w:val="21"/>
          <w:u w:val="single"/>
        </w:rPr>
        <w:t xml:space="preserve">       </w:t>
      </w:r>
      <w:r>
        <w:rPr>
          <w:rFonts w:hint="eastAsia" w:ascii="宋体" w:hAnsi="宋体"/>
          <w:bCs/>
          <w:szCs w:val="21"/>
        </w:rPr>
        <w:t>元。</w:t>
      </w:r>
    </w:p>
    <w:p>
      <w:pPr>
        <w:spacing w:line="360" w:lineRule="auto"/>
        <w:ind w:firstLine="420" w:firstLineChars="200"/>
        <w:rPr>
          <w:rFonts w:ascii="宋体" w:hAnsi="宋体"/>
          <w:bCs/>
          <w:szCs w:val="21"/>
        </w:rPr>
      </w:pPr>
      <w:r>
        <w:rPr>
          <w:rFonts w:hint="eastAsia" w:ascii="宋体" w:hAnsi="宋体"/>
          <w:bCs/>
          <w:szCs w:val="21"/>
        </w:rPr>
        <w:t>请你方在接到本通知书后的日内到</w:t>
      </w:r>
      <w:r>
        <w:rPr>
          <w:rFonts w:hint="eastAsia" w:ascii="宋体" w:hAnsi="宋体"/>
          <w:bCs/>
          <w:szCs w:val="21"/>
          <w:u w:val="single"/>
        </w:rPr>
        <w:t xml:space="preserve">                  （指定地点）</w:t>
      </w:r>
      <w:r>
        <w:rPr>
          <w:rFonts w:hint="eastAsia" w:ascii="宋体" w:hAnsi="宋体"/>
          <w:bCs/>
          <w:szCs w:val="21"/>
        </w:rPr>
        <w:t>与我方签订设备采购合同，并按照招标文件第二章“投标人须知”第7.6款规定向我方提交履约保证金。</w:t>
      </w:r>
    </w:p>
    <w:p>
      <w:pPr>
        <w:spacing w:line="360" w:lineRule="auto"/>
        <w:ind w:firstLine="420" w:firstLineChars="200"/>
        <w:rPr>
          <w:rFonts w:ascii="宋体" w:hAnsi="宋体"/>
          <w:bCs/>
          <w:szCs w:val="21"/>
          <w:u w:val="single"/>
        </w:rPr>
      </w:pPr>
      <w:r>
        <w:rPr>
          <w:rFonts w:hint="eastAsia" w:ascii="宋体" w:hAnsi="宋体"/>
          <w:bCs/>
          <w:szCs w:val="21"/>
        </w:rPr>
        <w:t>特此通知。</w:t>
      </w:r>
    </w:p>
    <w:p>
      <w:pPr>
        <w:spacing w:line="360" w:lineRule="auto"/>
        <w:rPr>
          <w:rFonts w:ascii="宋体" w:hAnsi="宋体"/>
          <w:bCs/>
          <w:szCs w:val="21"/>
        </w:rPr>
      </w:pPr>
    </w:p>
    <w:p>
      <w:pPr>
        <w:spacing w:line="360" w:lineRule="auto"/>
        <w:rPr>
          <w:rFonts w:ascii="宋体" w:hAnsi="宋体"/>
          <w:bCs/>
          <w:szCs w:val="21"/>
        </w:rPr>
      </w:pPr>
    </w:p>
    <w:p>
      <w:pPr>
        <w:spacing w:line="360" w:lineRule="auto"/>
        <w:rPr>
          <w:rFonts w:ascii="宋体" w:hAnsi="宋体"/>
          <w:bCs/>
          <w:szCs w:val="21"/>
        </w:rPr>
      </w:pPr>
    </w:p>
    <w:p>
      <w:pPr>
        <w:spacing w:line="480" w:lineRule="auto"/>
        <w:ind w:firstLine="3051" w:firstLineChars="1453"/>
        <w:rPr>
          <w:rFonts w:ascii="宋体" w:hAnsi="宋体"/>
          <w:bCs/>
          <w:szCs w:val="21"/>
        </w:rPr>
      </w:pPr>
      <w:r>
        <w:rPr>
          <w:rFonts w:hint="eastAsia" w:ascii="宋体" w:hAnsi="宋体"/>
          <w:bCs/>
          <w:szCs w:val="21"/>
        </w:rPr>
        <w:t>招标人：（盖单位章）</w:t>
      </w:r>
    </w:p>
    <w:p>
      <w:pPr>
        <w:spacing w:line="480" w:lineRule="auto"/>
        <w:ind w:firstLine="3051" w:firstLineChars="1453"/>
        <w:rPr>
          <w:rFonts w:ascii="宋体" w:hAnsi="宋体"/>
          <w:bCs/>
          <w:szCs w:val="21"/>
        </w:rPr>
      </w:pPr>
      <w:r>
        <w:rPr>
          <w:rFonts w:hint="eastAsia" w:ascii="宋体" w:hAnsi="宋体"/>
          <w:bCs/>
          <w:szCs w:val="21"/>
        </w:rPr>
        <w:t>法定代表人（单位负责人）：（签字）</w:t>
      </w:r>
    </w:p>
    <w:p>
      <w:pPr>
        <w:spacing w:line="480" w:lineRule="auto"/>
        <w:ind w:firstLine="3051" w:firstLineChars="1453"/>
        <w:rPr>
          <w:rFonts w:ascii="宋体" w:hAnsi="宋体"/>
          <w:sz w:val="28"/>
        </w:rPr>
      </w:pPr>
      <w:bookmarkStart w:id="12" w:name="_Toc519066649"/>
      <w:r>
        <w:rPr>
          <w:rFonts w:hint="eastAsia" w:ascii="宋体" w:hAnsi="宋体"/>
          <w:bCs/>
          <w:szCs w:val="21"/>
        </w:rPr>
        <w:t>年    月    日</w:t>
      </w:r>
      <w:r>
        <w:rPr>
          <w:sz w:val="24"/>
        </w:rPr>
        <w:br w:type="page"/>
      </w:r>
      <w:r>
        <w:rPr>
          <w:rFonts w:hint="eastAsia" w:ascii="宋体" w:hAnsi="宋体"/>
          <w:sz w:val="28"/>
        </w:rPr>
        <w:t>附件五：中标结果通知书</w:t>
      </w:r>
      <w:bookmarkEnd w:id="12"/>
    </w:p>
    <w:p>
      <w:pPr>
        <w:spacing w:line="239" w:lineRule="auto"/>
        <w:ind w:left="3340"/>
        <w:jc w:val="left"/>
        <w:rPr>
          <w:b/>
          <w:sz w:val="24"/>
        </w:rPr>
      </w:pPr>
      <w:r>
        <w:rPr>
          <w:rFonts w:hint="eastAsia" w:ascii="宋体" w:hAnsi="宋体"/>
          <w:b/>
          <w:sz w:val="28"/>
        </w:rPr>
        <w:t>中标结果通知书</w:t>
      </w:r>
    </w:p>
    <w:p>
      <w:pPr>
        <w:spacing w:line="200" w:lineRule="exact"/>
        <w:jc w:val="left"/>
        <w:rPr>
          <w:sz w:val="24"/>
        </w:rPr>
      </w:pPr>
    </w:p>
    <w:p>
      <w:pPr>
        <w:spacing w:line="381" w:lineRule="exact"/>
        <w:jc w:val="left"/>
        <w:rPr>
          <w:sz w:val="24"/>
        </w:rPr>
      </w:pPr>
    </w:p>
    <w:p>
      <w:pPr>
        <w:spacing w:line="440" w:lineRule="exact"/>
        <w:jc w:val="left"/>
        <w:rPr>
          <w:rFonts w:ascii="宋体" w:hAnsi="宋体"/>
          <w:szCs w:val="21"/>
        </w:rPr>
      </w:pPr>
      <w:r>
        <w:rPr>
          <w:rFonts w:hint="eastAsia" w:ascii="宋体" w:hAnsi="宋体"/>
          <w:szCs w:val="21"/>
        </w:rPr>
        <w:t>（未中标人名称）：</w:t>
      </w:r>
    </w:p>
    <w:p>
      <w:pPr>
        <w:spacing w:line="440" w:lineRule="exact"/>
        <w:ind w:firstLine="420" w:firstLineChars="200"/>
        <w:jc w:val="left"/>
        <w:rPr>
          <w:rFonts w:ascii="宋体" w:hAnsi="宋体"/>
          <w:szCs w:val="21"/>
        </w:rPr>
      </w:pPr>
      <w:r>
        <w:rPr>
          <w:rFonts w:hint="eastAsia" w:ascii="宋体" w:hAnsi="宋体"/>
          <w:szCs w:val="21"/>
        </w:rPr>
        <w:t>我方已接受</w:t>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（中标人名称）</w:t>
      </w:r>
      <w:r>
        <w:rPr>
          <w:rFonts w:hint="eastAsia" w:ascii="宋体" w:hAnsi="宋体"/>
          <w:szCs w:val="21"/>
        </w:rPr>
        <w:t>于</w:t>
      </w:r>
      <w:r>
        <w:rPr>
          <w:rFonts w:hint="eastAsia" w:ascii="宋体" w:hAnsi="宋体"/>
          <w:szCs w:val="21"/>
          <w:u w:val="single"/>
        </w:rPr>
        <w:tab/>
      </w:r>
      <w:r>
        <w:rPr>
          <w:rFonts w:hint="eastAsia" w:ascii="宋体" w:hAnsi="宋体"/>
          <w:szCs w:val="21"/>
          <w:u w:val="single"/>
        </w:rPr>
        <w:t>（投标日期）</w:t>
      </w:r>
      <w:r>
        <w:rPr>
          <w:rFonts w:hint="eastAsia" w:ascii="宋体" w:hAnsi="宋体"/>
          <w:szCs w:val="21"/>
        </w:rPr>
        <w:t>所递交的</w:t>
      </w:r>
      <w:r>
        <w:rPr>
          <w:rFonts w:hint="eastAsia" w:ascii="宋体" w:hAnsi="宋体"/>
          <w:szCs w:val="21"/>
          <w:u w:val="single"/>
        </w:rPr>
        <w:tab/>
      </w:r>
      <w:r>
        <w:rPr>
          <w:rFonts w:hint="eastAsia" w:ascii="宋体" w:hAnsi="宋体"/>
          <w:szCs w:val="21"/>
          <w:u w:val="single"/>
        </w:rPr>
        <w:t xml:space="preserve">  （项目名称）</w:t>
      </w:r>
      <w:r>
        <w:rPr>
          <w:rFonts w:hint="eastAsia" w:ascii="宋体" w:hAnsi="宋体"/>
          <w:szCs w:val="21"/>
        </w:rPr>
        <w:t>设备采购招标的投标文件，确定</w:t>
      </w:r>
      <w:r>
        <w:rPr>
          <w:rFonts w:hint="eastAsia" w:ascii="宋体" w:hAnsi="宋体"/>
          <w:szCs w:val="21"/>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（中标人名称）</w:t>
      </w:r>
      <w:r>
        <w:rPr>
          <w:rFonts w:hint="eastAsia" w:ascii="宋体" w:hAnsi="宋体"/>
          <w:szCs w:val="21"/>
        </w:rPr>
        <w:t>为中标人。</w:t>
      </w:r>
    </w:p>
    <w:p>
      <w:pPr>
        <w:spacing w:line="440" w:lineRule="exact"/>
        <w:ind w:firstLine="420" w:firstLineChars="200"/>
        <w:jc w:val="left"/>
        <w:rPr>
          <w:rFonts w:ascii="宋体" w:hAnsi="宋体"/>
          <w:szCs w:val="21"/>
        </w:rPr>
      </w:pPr>
      <w:r>
        <w:rPr>
          <w:rFonts w:hint="eastAsia" w:ascii="宋体" w:hAnsi="宋体"/>
          <w:szCs w:val="21"/>
        </w:rPr>
        <w:t>感谢你单位对招标项目的参与！</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ab/>
      </w:r>
    </w:p>
    <w:p>
      <w:pPr>
        <w:spacing w:line="440" w:lineRule="exact"/>
        <w:jc w:val="left"/>
        <w:rPr>
          <w:szCs w:val="21"/>
        </w:rPr>
      </w:pPr>
    </w:p>
    <w:p>
      <w:pPr>
        <w:spacing w:line="440" w:lineRule="exact"/>
        <w:jc w:val="left"/>
        <w:rPr>
          <w:szCs w:val="21"/>
        </w:rPr>
      </w:pPr>
    </w:p>
    <w:p>
      <w:pPr>
        <w:spacing w:line="440" w:lineRule="exact"/>
        <w:jc w:val="left"/>
        <w:rPr>
          <w:szCs w:val="21"/>
        </w:rPr>
      </w:pPr>
    </w:p>
    <w:p>
      <w:pPr>
        <w:spacing w:line="440" w:lineRule="exact"/>
        <w:jc w:val="left"/>
        <w:rPr>
          <w:szCs w:val="21"/>
        </w:rPr>
      </w:pPr>
    </w:p>
    <w:p>
      <w:pPr>
        <w:spacing w:line="440" w:lineRule="exact"/>
        <w:jc w:val="left"/>
        <w:rPr>
          <w:szCs w:val="21"/>
        </w:rPr>
      </w:pPr>
    </w:p>
    <w:p>
      <w:pPr>
        <w:tabs>
          <w:tab w:val="left" w:pos="5535"/>
        </w:tabs>
        <w:spacing w:line="440" w:lineRule="exact"/>
        <w:ind w:firstLine="1470" w:firstLineChars="700"/>
        <w:jc w:val="left"/>
        <w:rPr>
          <w:rFonts w:ascii="宋体" w:hAnsi="宋体"/>
          <w:szCs w:val="21"/>
        </w:rPr>
      </w:pPr>
      <w:r>
        <w:rPr>
          <w:rFonts w:hint="eastAsia" w:ascii="宋体" w:hAnsi="宋体"/>
          <w:szCs w:val="21"/>
        </w:rPr>
        <w:t>招标人：</w:t>
      </w:r>
      <w:r>
        <w:rPr>
          <w:szCs w:val="21"/>
          <w:u w:val="single"/>
        </w:rPr>
        <w:tab/>
      </w:r>
      <w:r>
        <w:rPr>
          <w:rFonts w:hint="eastAsia" w:ascii="宋体" w:hAnsi="宋体"/>
          <w:szCs w:val="21"/>
        </w:rPr>
        <w:t>（盖单位章）</w:t>
      </w:r>
    </w:p>
    <w:p>
      <w:pPr>
        <w:tabs>
          <w:tab w:val="left" w:pos="5960"/>
        </w:tabs>
        <w:spacing w:line="440" w:lineRule="exact"/>
        <w:ind w:firstLine="1890" w:firstLineChars="900"/>
        <w:jc w:val="left"/>
        <w:rPr>
          <w:rFonts w:ascii="宋体" w:hAnsi="宋体"/>
          <w:szCs w:val="21"/>
        </w:rPr>
      </w:pPr>
    </w:p>
    <w:p>
      <w:pPr>
        <w:tabs>
          <w:tab w:val="left" w:pos="5960"/>
        </w:tabs>
        <w:spacing w:line="440" w:lineRule="exact"/>
        <w:ind w:left="3040" w:firstLine="1890" w:firstLineChars="900"/>
        <w:jc w:val="left"/>
        <w:rPr>
          <w:rFonts w:ascii="宋体" w:hAnsi="宋体"/>
          <w:szCs w:val="21"/>
        </w:rPr>
      </w:pPr>
    </w:p>
    <w:p>
      <w:pPr>
        <w:tabs>
          <w:tab w:val="left" w:pos="7580"/>
          <w:tab w:val="left" w:pos="8420"/>
        </w:tabs>
        <w:overflowPunct w:val="0"/>
        <w:spacing w:line="440" w:lineRule="exact"/>
        <w:ind w:firstLine="5565" w:firstLineChars="2650"/>
        <w:jc w:val="left"/>
        <w:rPr>
          <w:rFonts w:ascii="宋体" w:hAnsi="宋体"/>
          <w:szCs w:val="21"/>
        </w:rPr>
      </w:pPr>
      <w:r>
        <w:rPr>
          <w:rFonts w:hint="eastAsia" w:ascii="宋体" w:hAnsi="宋体"/>
          <w:szCs w:val="21"/>
        </w:rPr>
        <w:t>年      月     日</w:t>
      </w:r>
    </w:p>
    <w:p>
      <w:pPr>
        <w:tabs>
          <w:tab w:val="left" w:pos="7580"/>
          <w:tab w:val="left" w:pos="8420"/>
        </w:tabs>
        <w:overflowPunct w:val="0"/>
        <w:spacing w:line="239" w:lineRule="auto"/>
        <w:ind w:left="6760"/>
        <w:jc w:val="left"/>
        <w:rPr>
          <w:rFonts w:ascii="宋体" w:hAnsi="宋体"/>
          <w:sz w:val="20"/>
        </w:rPr>
      </w:pPr>
    </w:p>
    <w:p>
      <w:pPr>
        <w:tabs>
          <w:tab w:val="left" w:pos="7580"/>
          <w:tab w:val="left" w:pos="8420"/>
        </w:tabs>
        <w:overflowPunct w:val="0"/>
        <w:spacing w:line="239" w:lineRule="auto"/>
        <w:ind w:left="6760"/>
        <w:jc w:val="left"/>
        <w:rPr>
          <w:rFonts w:ascii="宋体" w:hAnsi="宋体"/>
          <w:sz w:val="20"/>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pStyle w:val="4"/>
        <w:spacing w:before="0" w:after="0" w:line="500" w:lineRule="exact"/>
        <w:rPr>
          <w:rFonts w:ascii="宋体" w:hAnsi="宋体"/>
          <w:sz w:val="28"/>
        </w:rPr>
      </w:pPr>
      <w:r>
        <w:rPr>
          <w:rFonts w:hint="eastAsia" w:ascii="宋体" w:hAnsi="宋体"/>
          <w:sz w:val="28"/>
        </w:rPr>
        <w:br w:type="page"/>
      </w:r>
      <w:bookmarkStart w:id="13" w:name="_Toc31791881"/>
      <w:r>
        <w:rPr>
          <w:rFonts w:hint="eastAsia" w:ascii="宋体" w:hAnsi="宋体"/>
          <w:sz w:val="28"/>
        </w:rPr>
        <w:t>附件六：确认通知</w:t>
      </w:r>
      <w:bookmarkEnd w:id="13"/>
    </w:p>
    <w:p>
      <w:pPr>
        <w:spacing w:line="500" w:lineRule="exact"/>
        <w:jc w:val="left"/>
        <w:rPr>
          <w:sz w:val="24"/>
        </w:rPr>
      </w:pPr>
    </w:p>
    <w:p>
      <w:pPr>
        <w:spacing w:line="200" w:lineRule="exact"/>
        <w:jc w:val="left"/>
        <w:rPr>
          <w:sz w:val="24"/>
        </w:rPr>
      </w:pPr>
    </w:p>
    <w:p>
      <w:pPr>
        <w:spacing w:line="200" w:lineRule="exact"/>
        <w:jc w:val="left"/>
        <w:rPr>
          <w:sz w:val="24"/>
        </w:rPr>
      </w:pPr>
    </w:p>
    <w:p>
      <w:pPr>
        <w:adjustRightInd w:val="0"/>
        <w:snapToGrid w:val="0"/>
        <w:spacing w:line="360" w:lineRule="auto"/>
        <w:ind w:left="3760"/>
        <w:jc w:val="left"/>
        <w:rPr>
          <w:b/>
          <w:sz w:val="24"/>
        </w:rPr>
      </w:pPr>
      <w:r>
        <w:rPr>
          <w:rFonts w:hint="eastAsia" w:ascii="宋体" w:hAnsi="宋体"/>
          <w:b/>
          <w:sz w:val="28"/>
        </w:rPr>
        <w:t>确认通知</w:t>
      </w:r>
    </w:p>
    <w:p>
      <w:pPr>
        <w:adjustRightInd w:val="0"/>
        <w:snapToGrid w:val="0"/>
        <w:spacing w:line="360" w:lineRule="auto"/>
        <w:jc w:val="left"/>
        <w:rPr>
          <w:sz w:val="24"/>
        </w:rPr>
      </w:pPr>
    </w:p>
    <w:p>
      <w:pPr>
        <w:adjustRightInd w:val="0"/>
        <w:snapToGrid w:val="0"/>
        <w:spacing w:line="360" w:lineRule="auto"/>
        <w:jc w:val="left"/>
        <w:rPr>
          <w:szCs w:val="21"/>
        </w:rPr>
      </w:pPr>
    </w:p>
    <w:p>
      <w:pPr>
        <w:adjustRightInd w:val="0"/>
        <w:snapToGrid w:val="0"/>
        <w:spacing w:line="360" w:lineRule="auto"/>
        <w:jc w:val="left"/>
        <w:rPr>
          <w:rFonts w:ascii="宋体" w:hAnsi="宋体"/>
          <w:szCs w:val="21"/>
        </w:rPr>
      </w:pPr>
      <w:r>
        <w:rPr>
          <w:rFonts w:hint="eastAsia" w:ascii="宋体" w:hAnsi="宋体"/>
          <w:szCs w:val="21"/>
        </w:rPr>
        <w:t>（招标人名称）：</w:t>
      </w:r>
    </w:p>
    <w:p>
      <w:pPr>
        <w:adjustRightInd w:val="0"/>
        <w:snapToGrid w:val="0"/>
        <w:spacing w:line="360" w:lineRule="auto"/>
        <w:jc w:val="left"/>
        <w:rPr>
          <w:rFonts w:ascii="宋体" w:hAnsi="宋体"/>
          <w:szCs w:val="21"/>
        </w:rPr>
      </w:pPr>
    </w:p>
    <w:p>
      <w:pPr>
        <w:adjustRightInd w:val="0"/>
        <w:snapToGrid w:val="0"/>
        <w:spacing w:line="360" w:lineRule="auto"/>
        <w:ind w:firstLine="420" w:firstLineChars="200"/>
        <w:jc w:val="left"/>
        <w:rPr>
          <w:rFonts w:ascii="宋体" w:hAnsi="宋体"/>
          <w:szCs w:val="21"/>
        </w:rPr>
      </w:pPr>
      <w:r>
        <w:rPr>
          <w:rFonts w:hint="eastAsia" w:ascii="宋体" w:hAnsi="宋体"/>
          <w:szCs w:val="21"/>
        </w:rPr>
        <w:t>你方于</w:t>
      </w:r>
      <w:r>
        <w:rPr>
          <w:rFonts w:hint="eastAsia" w:ascii="宋体" w:hAnsi="宋体"/>
          <w:szCs w:val="21"/>
          <w:u w:val="single"/>
        </w:rPr>
        <w:tab/>
      </w:r>
      <w:r>
        <w:rPr>
          <w:rFonts w:hint="eastAsia" w:ascii="宋体" w:hAnsi="宋体"/>
          <w:szCs w:val="21"/>
          <w:u w:val="single"/>
        </w:rPr>
        <w:tab/>
      </w:r>
      <w:r>
        <w:rPr>
          <w:rFonts w:hint="eastAsia" w:ascii="宋体" w:hAnsi="宋体"/>
          <w:szCs w:val="21"/>
        </w:rPr>
        <w:t>年</w:t>
      </w:r>
      <w:r>
        <w:rPr>
          <w:rFonts w:hint="eastAsia" w:ascii="宋体" w:hAnsi="宋体"/>
          <w:szCs w:val="21"/>
          <w:u w:val="single"/>
        </w:rPr>
        <w:tab/>
      </w:r>
      <w:r>
        <w:rPr>
          <w:rFonts w:hint="eastAsia" w:ascii="宋体" w:hAnsi="宋体"/>
          <w:szCs w:val="21"/>
        </w:rPr>
        <w:t>月</w:t>
      </w:r>
      <w:r>
        <w:rPr>
          <w:rFonts w:hint="eastAsia" w:ascii="宋体" w:hAnsi="宋体"/>
          <w:szCs w:val="21"/>
          <w:u w:val="single"/>
        </w:rPr>
        <w:tab/>
      </w:r>
      <w:r>
        <w:rPr>
          <w:rFonts w:hint="eastAsia" w:ascii="宋体" w:hAnsi="宋体"/>
          <w:szCs w:val="21"/>
        </w:rPr>
        <w:t>日发出的</w:t>
      </w:r>
      <w:r>
        <w:rPr>
          <w:rFonts w:hint="eastAsia" w:ascii="宋体" w:hAnsi="宋体"/>
          <w:szCs w:val="21"/>
          <w:u w:val="single"/>
        </w:rPr>
        <w:tab/>
      </w:r>
      <w:r>
        <w:rPr>
          <w:rFonts w:hint="eastAsia" w:ascii="宋体" w:hAnsi="宋体"/>
          <w:szCs w:val="21"/>
          <w:u w:val="single"/>
        </w:rPr>
        <w:t>（项目名称）</w:t>
      </w:r>
      <w:r>
        <w:rPr>
          <w:rFonts w:hint="eastAsia" w:ascii="宋体" w:hAnsi="宋体"/>
          <w:szCs w:val="21"/>
        </w:rPr>
        <w:t>设备采购招标关于招标文件的澄清/修改的通知，我方已于</w:t>
      </w:r>
      <w:r>
        <w:rPr>
          <w:rFonts w:hint="eastAsia" w:ascii="宋体" w:hAnsi="宋体"/>
          <w:szCs w:val="21"/>
          <w:u w:val="single"/>
        </w:rPr>
        <w:tab/>
      </w:r>
      <w:r>
        <w:rPr>
          <w:rFonts w:hint="eastAsia" w:ascii="宋体" w:hAnsi="宋体"/>
          <w:szCs w:val="21"/>
        </w:rPr>
        <w:t>年</w:t>
      </w:r>
      <w:r>
        <w:rPr>
          <w:rFonts w:hint="eastAsia" w:ascii="宋体" w:hAnsi="宋体"/>
          <w:szCs w:val="21"/>
          <w:u w:val="single"/>
        </w:rPr>
        <w:tab/>
      </w:r>
      <w:r>
        <w:rPr>
          <w:rFonts w:hint="eastAsia" w:ascii="宋体" w:hAnsi="宋体"/>
          <w:szCs w:val="21"/>
        </w:rPr>
        <w:t>月</w:t>
      </w:r>
      <w:r>
        <w:rPr>
          <w:rFonts w:hint="eastAsia" w:ascii="宋体" w:hAnsi="宋体"/>
          <w:szCs w:val="21"/>
          <w:u w:val="single"/>
        </w:rPr>
        <w:tab/>
      </w:r>
      <w:r>
        <w:rPr>
          <w:rFonts w:hint="eastAsia" w:ascii="宋体" w:hAnsi="宋体"/>
          <w:szCs w:val="21"/>
        </w:rPr>
        <w:t>日收到。</w:t>
      </w:r>
    </w:p>
    <w:p>
      <w:pPr>
        <w:adjustRightInd w:val="0"/>
        <w:snapToGrid w:val="0"/>
        <w:spacing w:line="360" w:lineRule="auto"/>
        <w:ind w:firstLine="420" w:firstLineChars="200"/>
        <w:jc w:val="left"/>
        <w:rPr>
          <w:rFonts w:ascii="宋体" w:hAnsi="宋体"/>
          <w:szCs w:val="21"/>
        </w:rPr>
      </w:pPr>
      <w:r>
        <w:rPr>
          <w:rFonts w:hint="eastAsia" w:ascii="宋体" w:hAnsi="宋体"/>
          <w:szCs w:val="21"/>
        </w:rPr>
        <w:t>特此确认。</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ab/>
      </w:r>
    </w:p>
    <w:p>
      <w:pPr>
        <w:adjustRightInd w:val="0"/>
        <w:snapToGrid w:val="0"/>
        <w:spacing w:line="360" w:lineRule="auto"/>
        <w:jc w:val="left"/>
        <w:rPr>
          <w:szCs w:val="21"/>
        </w:rPr>
      </w:pPr>
    </w:p>
    <w:p>
      <w:pPr>
        <w:adjustRightInd w:val="0"/>
        <w:snapToGrid w:val="0"/>
        <w:spacing w:line="360" w:lineRule="auto"/>
        <w:jc w:val="left"/>
        <w:rPr>
          <w:szCs w:val="21"/>
        </w:rPr>
      </w:pPr>
    </w:p>
    <w:p>
      <w:pPr>
        <w:adjustRightInd w:val="0"/>
        <w:snapToGrid w:val="0"/>
        <w:spacing w:line="360" w:lineRule="auto"/>
        <w:jc w:val="left"/>
        <w:rPr>
          <w:szCs w:val="21"/>
        </w:rPr>
      </w:pPr>
    </w:p>
    <w:p>
      <w:pPr>
        <w:tabs>
          <w:tab w:val="left" w:pos="7020"/>
        </w:tabs>
        <w:adjustRightInd w:val="0"/>
        <w:snapToGrid w:val="0"/>
        <w:spacing w:line="360" w:lineRule="auto"/>
        <w:ind w:left="2420"/>
        <w:jc w:val="left"/>
        <w:rPr>
          <w:rFonts w:ascii="宋体" w:hAnsi="宋体"/>
          <w:szCs w:val="21"/>
        </w:rPr>
      </w:pPr>
      <w:r>
        <w:rPr>
          <w:rFonts w:hint="eastAsia" w:ascii="宋体" w:hAnsi="宋体"/>
          <w:szCs w:val="21"/>
        </w:rPr>
        <w:t>投标人：</w:t>
      </w:r>
      <w:r>
        <w:rPr>
          <w:szCs w:val="21"/>
          <w:u w:val="single"/>
        </w:rPr>
        <w:tab/>
      </w:r>
      <w:r>
        <w:rPr>
          <w:rFonts w:hint="eastAsia" w:ascii="宋体" w:hAnsi="宋体"/>
          <w:szCs w:val="21"/>
        </w:rPr>
        <w:t>（盖单位章）</w:t>
      </w:r>
    </w:p>
    <w:p>
      <w:pPr>
        <w:tabs>
          <w:tab w:val="left" w:pos="7020"/>
        </w:tabs>
        <w:adjustRightInd w:val="0"/>
        <w:snapToGrid w:val="0"/>
        <w:spacing w:line="360" w:lineRule="auto"/>
        <w:ind w:left="2420"/>
        <w:jc w:val="left"/>
        <w:rPr>
          <w:rFonts w:ascii="宋体" w:hAnsi="宋体"/>
          <w:szCs w:val="21"/>
        </w:rPr>
      </w:pPr>
    </w:p>
    <w:p>
      <w:pPr>
        <w:tabs>
          <w:tab w:val="left" w:pos="7220"/>
        </w:tabs>
        <w:adjustRightInd w:val="0"/>
        <w:snapToGrid w:val="0"/>
        <w:spacing w:line="360" w:lineRule="auto"/>
        <w:ind w:left="2420"/>
        <w:jc w:val="left"/>
        <w:rPr>
          <w:rFonts w:ascii="宋体" w:hAnsi="宋体"/>
          <w:szCs w:val="21"/>
        </w:rPr>
      </w:pPr>
      <w:r>
        <w:rPr>
          <w:rFonts w:hint="eastAsia" w:ascii="宋体" w:hAnsi="宋体"/>
          <w:szCs w:val="21"/>
        </w:rPr>
        <w:t>法定代表人或委托代理人：</w:t>
      </w:r>
      <w:r>
        <w:rPr>
          <w:szCs w:val="21"/>
          <w:u w:val="single"/>
        </w:rPr>
        <w:tab/>
      </w:r>
      <w:r>
        <w:rPr>
          <w:rFonts w:hint="eastAsia" w:ascii="宋体" w:hAnsi="宋体"/>
          <w:szCs w:val="21"/>
        </w:rPr>
        <w:t>（签字）</w:t>
      </w:r>
    </w:p>
    <w:p>
      <w:pPr>
        <w:tabs>
          <w:tab w:val="left" w:pos="7220"/>
        </w:tabs>
        <w:adjustRightInd w:val="0"/>
        <w:snapToGrid w:val="0"/>
        <w:spacing w:line="360" w:lineRule="auto"/>
        <w:ind w:left="2420"/>
        <w:jc w:val="left"/>
        <w:rPr>
          <w:rFonts w:ascii="宋体" w:hAnsi="宋体"/>
          <w:szCs w:val="21"/>
        </w:rPr>
      </w:pPr>
    </w:p>
    <w:p>
      <w:pPr>
        <w:tabs>
          <w:tab w:val="left" w:pos="7220"/>
        </w:tabs>
        <w:adjustRightInd w:val="0"/>
        <w:snapToGrid w:val="0"/>
        <w:spacing w:line="360" w:lineRule="auto"/>
        <w:ind w:left="2420"/>
        <w:jc w:val="left"/>
        <w:rPr>
          <w:rFonts w:ascii="宋体" w:hAnsi="宋体"/>
          <w:szCs w:val="21"/>
        </w:rPr>
      </w:pPr>
    </w:p>
    <w:p>
      <w:pPr>
        <w:tabs>
          <w:tab w:val="left" w:pos="7580"/>
          <w:tab w:val="left" w:pos="8420"/>
        </w:tabs>
        <w:overflowPunct w:val="0"/>
        <w:spacing w:line="239" w:lineRule="auto"/>
        <w:ind w:firstLine="5460" w:firstLineChars="2600"/>
        <w:jc w:val="left"/>
        <w:rPr>
          <w:rFonts w:ascii="宋体" w:hAnsi="宋体"/>
          <w:szCs w:val="21"/>
        </w:rPr>
      </w:pPr>
      <w:r>
        <w:rPr>
          <w:rFonts w:hint="eastAsia" w:ascii="宋体" w:hAnsi="宋体"/>
          <w:szCs w:val="21"/>
        </w:rPr>
        <w:t>年      月     日</w:t>
      </w:r>
    </w:p>
    <w:p>
      <w:pPr>
        <w:tabs>
          <w:tab w:val="left" w:pos="7460"/>
          <w:tab w:val="left" w:pos="8420"/>
        </w:tabs>
        <w:overflowPunct w:val="0"/>
        <w:spacing w:line="239" w:lineRule="auto"/>
        <w:ind w:left="6540"/>
        <w:jc w:val="left"/>
        <w:rPr>
          <w:rFonts w:ascii="宋体" w:hAnsi="宋体"/>
          <w:sz w:val="20"/>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pStyle w:val="3"/>
        <w:spacing w:before="0" w:after="0" w:line="500" w:lineRule="exact"/>
        <w:jc w:val="center"/>
        <w:rPr>
          <w:rFonts w:ascii="宋体" w:hAnsi="宋体"/>
        </w:rPr>
      </w:pPr>
      <w:bookmarkStart w:id="14" w:name="page39"/>
      <w:bookmarkEnd w:id="14"/>
      <w:bookmarkStart w:id="15" w:name="_Toc31791882"/>
      <w:r>
        <w:rPr>
          <w:rFonts w:hint="eastAsia" w:ascii="宋体" w:hAnsi="宋体"/>
        </w:rPr>
        <w:t>第三章 评标办法（综合评估法）</w:t>
      </w:r>
      <w:bookmarkEnd w:id="15"/>
    </w:p>
    <w:p>
      <w:pPr>
        <w:pStyle w:val="4"/>
        <w:spacing w:before="0" w:after="0" w:line="500" w:lineRule="exact"/>
        <w:jc w:val="center"/>
        <w:rPr>
          <w:rFonts w:ascii="宋体" w:hAnsi="宋体"/>
          <w:sz w:val="28"/>
          <w:szCs w:val="28"/>
        </w:rPr>
      </w:pPr>
      <w:bookmarkStart w:id="16" w:name="_Toc31791883"/>
      <w:r>
        <w:rPr>
          <w:rFonts w:hint="eastAsia" w:ascii="宋体" w:hAnsi="宋体"/>
          <w:sz w:val="28"/>
          <w:szCs w:val="28"/>
        </w:rPr>
        <w:t>评标办法前附表</w:t>
      </w:r>
      <w:bookmarkEnd w:id="16"/>
    </w:p>
    <w:tbl>
      <w:tblPr>
        <w:tblStyle w:val="68"/>
        <w:tblW w:w="9781"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17"/>
        <w:gridCol w:w="1418"/>
        <w:gridCol w:w="2268"/>
        <w:gridCol w:w="527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trPr>
        <w:tc>
          <w:tcPr>
            <w:tcW w:w="2235" w:type="dxa"/>
            <w:gridSpan w:val="2"/>
          </w:tcPr>
          <w:p>
            <w:pPr>
              <w:widowControl w:val="0"/>
              <w:spacing w:line="360" w:lineRule="exact"/>
              <w:jc w:val="center"/>
              <w:rPr>
                <w:rFonts w:ascii="宋体" w:hAnsi="宋体"/>
                <w:b/>
                <w:sz w:val="32"/>
              </w:rPr>
            </w:pPr>
            <w:r>
              <w:rPr>
                <w:rFonts w:hint="eastAsia" w:ascii="宋体" w:hAnsi="宋体"/>
                <w:b/>
              </w:rPr>
              <w:t>条款号</w:t>
            </w:r>
          </w:p>
        </w:tc>
        <w:tc>
          <w:tcPr>
            <w:tcW w:w="2268" w:type="dxa"/>
          </w:tcPr>
          <w:p>
            <w:pPr>
              <w:widowControl w:val="0"/>
              <w:spacing w:line="360" w:lineRule="exact"/>
              <w:jc w:val="center"/>
              <w:rPr>
                <w:rFonts w:ascii="宋体" w:hAnsi="宋体"/>
                <w:b/>
                <w:sz w:val="32"/>
              </w:rPr>
            </w:pPr>
            <w:r>
              <w:rPr>
                <w:rFonts w:hint="eastAsia" w:ascii="宋体" w:hAnsi="宋体"/>
                <w:b/>
              </w:rPr>
              <w:t>评审因素</w:t>
            </w:r>
          </w:p>
        </w:tc>
        <w:tc>
          <w:tcPr>
            <w:tcW w:w="5278" w:type="dxa"/>
          </w:tcPr>
          <w:p>
            <w:pPr>
              <w:widowControl w:val="0"/>
              <w:spacing w:line="360" w:lineRule="exact"/>
              <w:jc w:val="center"/>
              <w:rPr>
                <w:rFonts w:ascii="宋体" w:hAnsi="宋体"/>
                <w:b/>
                <w:sz w:val="32"/>
              </w:rPr>
            </w:pPr>
            <w:r>
              <w:rPr>
                <w:rFonts w:hint="eastAsia" w:ascii="宋体" w:hAnsi="宋体"/>
                <w:b/>
              </w:rPr>
              <w:t>评审标准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26" w:hRule="atLeast"/>
        </w:trPr>
        <w:tc>
          <w:tcPr>
            <w:tcW w:w="817" w:type="dxa"/>
            <w:vAlign w:val="center"/>
          </w:tcPr>
          <w:p>
            <w:pPr>
              <w:widowControl w:val="0"/>
              <w:spacing w:line="360" w:lineRule="exact"/>
              <w:jc w:val="center"/>
              <w:rPr>
                <w:rFonts w:ascii="宋体" w:hAnsi="宋体"/>
              </w:rPr>
            </w:pPr>
            <w:r>
              <w:rPr>
                <w:rFonts w:ascii="宋体" w:hAnsi="宋体"/>
              </w:rPr>
              <w:t>1</w:t>
            </w:r>
          </w:p>
        </w:tc>
        <w:tc>
          <w:tcPr>
            <w:tcW w:w="1418" w:type="dxa"/>
            <w:vAlign w:val="center"/>
          </w:tcPr>
          <w:p>
            <w:pPr>
              <w:widowControl w:val="0"/>
              <w:spacing w:line="360" w:lineRule="exact"/>
              <w:jc w:val="center"/>
              <w:rPr>
                <w:rFonts w:ascii="宋体" w:hAnsi="宋体"/>
              </w:rPr>
            </w:pPr>
            <w:r>
              <w:rPr>
                <w:rFonts w:hint="eastAsia" w:ascii="宋体" w:hAnsi="宋体"/>
              </w:rPr>
              <w:t>评标方法</w:t>
            </w:r>
          </w:p>
        </w:tc>
        <w:tc>
          <w:tcPr>
            <w:tcW w:w="2268" w:type="dxa"/>
            <w:vAlign w:val="center"/>
          </w:tcPr>
          <w:p>
            <w:pPr>
              <w:widowControl w:val="0"/>
              <w:spacing w:line="360" w:lineRule="exact"/>
              <w:jc w:val="center"/>
              <w:rPr>
                <w:rFonts w:ascii="宋体" w:hAnsi="宋体"/>
                <w:b/>
                <w:sz w:val="32"/>
              </w:rPr>
            </w:pPr>
            <w:r>
              <w:rPr>
                <w:rFonts w:hint="eastAsia" w:ascii="宋体" w:hAnsi="宋体"/>
              </w:rPr>
              <w:t>中标候选人排序方法</w:t>
            </w:r>
          </w:p>
        </w:tc>
        <w:tc>
          <w:tcPr>
            <w:tcW w:w="5278" w:type="dxa"/>
          </w:tcPr>
          <w:p>
            <w:pPr>
              <w:spacing w:line="360" w:lineRule="auto"/>
              <w:rPr>
                <w:rFonts w:ascii="宋体" w:hAnsi="宋体" w:cs="宋体"/>
                <w:szCs w:val="21"/>
              </w:rPr>
            </w:pPr>
            <w:r>
              <w:rPr>
                <w:rFonts w:hint="eastAsia" w:ascii="宋体" w:hAnsi="宋体" w:cs="宋体"/>
                <w:szCs w:val="21"/>
              </w:rPr>
              <w:t>评标委员会对满足招标文件实质性要求的投标文件，按照本章 第 2.2 款规定的评分标准进行打分，并按得分由高到低顺序推荐中标候选人，或根据招标人授权直接确定中标人，但投标报价低于其成本的除外。综合评分相等时，以投标报价低的优先； 投标报价也相等的，以技术得分高的优先；如果技术得分也相等，</w:t>
            </w:r>
            <w:r>
              <w:rPr>
                <w:rFonts w:hint="eastAsia" w:ascii="宋体" w:hAnsi="宋体"/>
                <w:szCs w:val="21"/>
              </w:rPr>
              <w:t>由招标人自行确定或由监督人员组织现场随机抽取产生中标候选人</w:t>
            </w:r>
            <w:r>
              <w:rPr>
                <w:rFonts w:hint="eastAsia" w:ascii="宋体" w:hAnsi="宋体"/>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817" w:type="dxa"/>
            <w:vMerge w:val="restart"/>
            <w:vAlign w:val="center"/>
          </w:tcPr>
          <w:p>
            <w:pPr>
              <w:widowControl w:val="0"/>
              <w:spacing w:line="360" w:lineRule="exact"/>
              <w:jc w:val="center"/>
              <w:rPr>
                <w:rFonts w:ascii="宋体" w:hAnsi="宋体"/>
              </w:rPr>
            </w:pPr>
            <w:r>
              <w:rPr>
                <w:rFonts w:ascii="宋体" w:hAnsi="宋体"/>
              </w:rPr>
              <w:t>2.1.1</w:t>
            </w:r>
          </w:p>
        </w:tc>
        <w:tc>
          <w:tcPr>
            <w:tcW w:w="1418" w:type="dxa"/>
            <w:vMerge w:val="restart"/>
            <w:vAlign w:val="center"/>
          </w:tcPr>
          <w:p>
            <w:pPr>
              <w:widowControl w:val="0"/>
              <w:spacing w:line="360" w:lineRule="exact"/>
              <w:jc w:val="center"/>
              <w:rPr>
                <w:rFonts w:ascii="宋体" w:hAnsi="宋体"/>
              </w:rPr>
            </w:pPr>
            <w:r>
              <w:rPr>
                <w:rFonts w:hint="eastAsia" w:ascii="宋体" w:hAnsi="宋体"/>
              </w:rPr>
              <w:t>形式评审</w:t>
            </w:r>
          </w:p>
          <w:p>
            <w:pPr>
              <w:widowControl w:val="0"/>
              <w:spacing w:line="360" w:lineRule="exact"/>
              <w:jc w:val="center"/>
              <w:rPr>
                <w:rFonts w:ascii="宋体" w:hAnsi="宋体"/>
              </w:rPr>
            </w:pPr>
            <w:r>
              <w:rPr>
                <w:rFonts w:hint="eastAsia" w:ascii="宋体" w:hAnsi="宋体"/>
              </w:rPr>
              <w:t>标准</w:t>
            </w:r>
          </w:p>
        </w:tc>
        <w:tc>
          <w:tcPr>
            <w:tcW w:w="2268" w:type="dxa"/>
            <w:vAlign w:val="center"/>
          </w:tcPr>
          <w:p>
            <w:pPr>
              <w:widowControl w:val="0"/>
              <w:spacing w:line="360" w:lineRule="exact"/>
              <w:jc w:val="center"/>
              <w:rPr>
                <w:rFonts w:ascii="宋体" w:hAnsi="宋体"/>
                <w:b/>
                <w:sz w:val="32"/>
              </w:rPr>
            </w:pPr>
            <w:r>
              <w:rPr>
                <w:rFonts w:hint="eastAsia" w:ascii="宋体" w:hAnsi="宋体"/>
              </w:rPr>
              <w:t>投标人名称</w:t>
            </w:r>
          </w:p>
        </w:tc>
        <w:tc>
          <w:tcPr>
            <w:tcW w:w="5278" w:type="dxa"/>
            <w:vAlign w:val="center"/>
          </w:tcPr>
          <w:p>
            <w:pPr>
              <w:pStyle w:val="22"/>
              <w:rPr>
                <w:rFonts w:ascii="宋体" w:hAnsi="宋体"/>
                <w:b/>
                <w:sz w:val="32"/>
              </w:rPr>
            </w:pPr>
            <w:r>
              <w:rPr>
                <w:rFonts w:ascii="宋体" w:hAnsi="宋体" w:cs="宋体"/>
                <w:szCs w:val="21"/>
              </w:rPr>
              <w:t>与营</w:t>
            </w:r>
            <w:r>
              <w:rPr>
                <w:rFonts w:ascii="宋体" w:hAnsi="宋体" w:cs="宋体"/>
                <w:spacing w:val="-2"/>
                <w:szCs w:val="21"/>
              </w:rPr>
              <w:t>业</w:t>
            </w:r>
            <w:r>
              <w:rPr>
                <w:rFonts w:ascii="宋体" w:hAnsi="宋体" w:cs="宋体"/>
                <w:szCs w:val="21"/>
              </w:rPr>
              <w:t>执</w:t>
            </w:r>
            <w:r>
              <w:rPr>
                <w:rFonts w:ascii="宋体" w:hAnsi="宋体" w:cs="宋体"/>
                <w:spacing w:val="-2"/>
                <w:szCs w:val="21"/>
              </w:rPr>
              <w:t>照</w:t>
            </w:r>
            <w:r>
              <w:rPr>
                <w:rFonts w:hint="eastAsia" w:ascii="宋体" w:hAnsi="宋体" w:cs="宋体"/>
                <w:spacing w:val="-2"/>
                <w:szCs w:val="21"/>
              </w:rPr>
              <w:t>一致</w:t>
            </w:r>
            <w:r>
              <w:rPr>
                <w:rFonts w:hint="eastAsia"/>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17" w:type="dxa"/>
            <w:vMerge w:val="continue"/>
            <w:vAlign w:val="center"/>
          </w:tcPr>
          <w:p>
            <w:pPr>
              <w:widowControl w:val="0"/>
              <w:spacing w:line="360" w:lineRule="exact"/>
              <w:jc w:val="center"/>
              <w:rPr>
                <w:rFonts w:ascii="宋体" w:hAnsi="宋体"/>
              </w:rPr>
            </w:pPr>
          </w:p>
        </w:tc>
        <w:tc>
          <w:tcPr>
            <w:tcW w:w="1418" w:type="dxa"/>
            <w:vMerge w:val="continue"/>
            <w:vAlign w:val="center"/>
          </w:tcPr>
          <w:p>
            <w:pPr>
              <w:widowControl w:val="0"/>
              <w:spacing w:line="360" w:lineRule="exact"/>
              <w:jc w:val="center"/>
              <w:rPr>
                <w:rFonts w:ascii="宋体" w:hAnsi="宋体"/>
              </w:rPr>
            </w:pPr>
          </w:p>
        </w:tc>
        <w:tc>
          <w:tcPr>
            <w:tcW w:w="2268" w:type="dxa"/>
            <w:vAlign w:val="center"/>
          </w:tcPr>
          <w:p>
            <w:pPr>
              <w:widowControl w:val="0"/>
              <w:spacing w:line="360" w:lineRule="exact"/>
              <w:jc w:val="center"/>
              <w:rPr>
                <w:rFonts w:ascii="宋体" w:hAnsi="宋体"/>
              </w:rPr>
            </w:pPr>
            <w:r>
              <w:rPr>
                <w:rFonts w:hint="eastAsia" w:ascii="宋体" w:hAnsi="宋体"/>
              </w:rPr>
              <w:t>投标函签字盖章</w:t>
            </w:r>
          </w:p>
        </w:tc>
        <w:tc>
          <w:tcPr>
            <w:tcW w:w="5278" w:type="dxa"/>
          </w:tcPr>
          <w:p>
            <w:pPr>
              <w:widowControl w:val="0"/>
              <w:spacing w:line="340" w:lineRule="exact"/>
              <w:jc w:val="left"/>
              <w:rPr>
                <w:rFonts w:ascii="宋体" w:hAnsi="宋体"/>
              </w:rPr>
            </w:pPr>
            <w:r>
              <w:rPr>
                <w:rFonts w:ascii="宋体" w:hAnsi="宋体"/>
              </w:rPr>
              <w:t>有法定代表人或其委托代理人签字</w:t>
            </w:r>
            <w:r>
              <w:rPr>
                <w:rFonts w:hint="eastAsia" w:ascii="宋体" w:hAnsi="宋体"/>
              </w:rPr>
              <w:t>并</w:t>
            </w:r>
            <w:r>
              <w:rPr>
                <w:rFonts w:ascii="宋体" w:hAnsi="宋体"/>
              </w:rPr>
              <w:t>加盖单位章。由法定代表人签字的，应附法定代表人身份证明，由代理人签字的，应附授权委托书，身份证明或授权委托书应符合第六章“投标文件格式”的规定</w:t>
            </w:r>
            <w:r>
              <w:rPr>
                <w:rFonts w:hint="eastAsia" w:ascii="宋体" w:hAnsi="宋体"/>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817" w:type="dxa"/>
            <w:vMerge w:val="continue"/>
            <w:vAlign w:val="center"/>
          </w:tcPr>
          <w:p>
            <w:pPr>
              <w:widowControl w:val="0"/>
              <w:spacing w:line="360" w:lineRule="exact"/>
              <w:jc w:val="center"/>
              <w:rPr>
                <w:rFonts w:ascii="宋体" w:hAnsi="宋体"/>
              </w:rPr>
            </w:pPr>
          </w:p>
        </w:tc>
        <w:tc>
          <w:tcPr>
            <w:tcW w:w="1418" w:type="dxa"/>
            <w:vMerge w:val="continue"/>
            <w:vAlign w:val="center"/>
          </w:tcPr>
          <w:p>
            <w:pPr>
              <w:widowControl w:val="0"/>
              <w:spacing w:line="360" w:lineRule="exact"/>
              <w:jc w:val="center"/>
              <w:rPr>
                <w:rFonts w:ascii="宋体" w:hAnsi="宋体"/>
              </w:rPr>
            </w:pPr>
          </w:p>
        </w:tc>
        <w:tc>
          <w:tcPr>
            <w:tcW w:w="2268" w:type="dxa"/>
            <w:vAlign w:val="center"/>
          </w:tcPr>
          <w:p>
            <w:pPr>
              <w:widowControl w:val="0"/>
              <w:spacing w:line="360" w:lineRule="exact"/>
              <w:jc w:val="center"/>
              <w:rPr>
                <w:rFonts w:ascii="宋体" w:hAnsi="宋体"/>
              </w:rPr>
            </w:pPr>
            <w:r>
              <w:rPr>
                <w:rFonts w:hint="eastAsia" w:ascii="宋体" w:hAnsi="宋体"/>
              </w:rPr>
              <w:t>投标文件格式</w:t>
            </w:r>
          </w:p>
        </w:tc>
        <w:tc>
          <w:tcPr>
            <w:tcW w:w="5278" w:type="dxa"/>
          </w:tcPr>
          <w:p>
            <w:pPr>
              <w:widowControl w:val="0"/>
              <w:spacing w:line="420" w:lineRule="exact"/>
              <w:jc w:val="left"/>
              <w:rPr>
                <w:rFonts w:ascii="宋体" w:hAnsi="宋体"/>
              </w:rPr>
            </w:pPr>
            <w:r>
              <w:rPr>
                <w:rFonts w:hint="eastAsia" w:ascii="宋体" w:hAnsi="宋体"/>
              </w:rPr>
              <w:t>符合第六章</w:t>
            </w:r>
            <w:r>
              <w:rPr>
                <w:rFonts w:ascii="宋体" w:hAnsi="宋体"/>
              </w:rPr>
              <w:t>“</w:t>
            </w:r>
            <w:r>
              <w:rPr>
                <w:rFonts w:hint="eastAsia" w:ascii="宋体" w:hAnsi="宋体"/>
              </w:rPr>
              <w:t>投标文件格式</w:t>
            </w:r>
            <w:r>
              <w:rPr>
                <w:rFonts w:ascii="宋体" w:hAnsi="宋体"/>
              </w:rPr>
              <w:t>”</w:t>
            </w:r>
            <w:r>
              <w:rPr>
                <w:rFonts w:hint="eastAsia" w:ascii="宋体" w:hAnsi="宋体"/>
              </w:rPr>
              <w:t>的规定。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43" w:hRule="atLeast"/>
        </w:trPr>
        <w:tc>
          <w:tcPr>
            <w:tcW w:w="817" w:type="dxa"/>
            <w:vMerge w:val="restart"/>
            <w:vAlign w:val="center"/>
          </w:tcPr>
          <w:p>
            <w:pPr>
              <w:widowControl w:val="0"/>
              <w:spacing w:line="360" w:lineRule="exact"/>
              <w:jc w:val="center"/>
              <w:rPr>
                <w:rFonts w:ascii="宋体" w:hAnsi="宋体"/>
              </w:rPr>
            </w:pPr>
            <w:r>
              <w:rPr>
                <w:rFonts w:ascii="宋体" w:hAnsi="宋体"/>
              </w:rPr>
              <w:t>2.1.2</w:t>
            </w:r>
          </w:p>
        </w:tc>
        <w:tc>
          <w:tcPr>
            <w:tcW w:w="1418" w:type="dxa"/>
            <w:vMerge w:val="restart"/>
            <w:vAlign w:val="center"/>
          </w:tcPr>
          <w:p>
            <w:pPr>
              <w:widowControl w:val="0"/>
              <w:spacing w:line="360" w:lineRule="exact"/>
              <w:jc w:val="center"/>
              <w:rPr>
                <w:rFonts w:ascii="宋体" w:hAnsi="宋体"/>
              </w:rPr>
            </w:pPr>
            <w:r>
              <w:rPr>
                <w:rFonts w:ascii="宋体" w:hAnsi="宋体"/>
              </w:rPr>
              <w:t>资格评审</w:t>
            </w:r>
          </w:p>
          <w:p>
            <w:pPr>
              <w:widowControl w:val="0"/>
              <w:spacing w:line="360" w:lineRule="exact"/>
              <w:jc w:val="center"/>
              <w:rPr>
                <w:rFonts w:ascii="宋体" w:hAnsi="宋体"/>
              </w:rPr>
            </w:pPr>
            <w:r>
              <w:rPr>
                <w:rFonts w:ascii="宋体" w:hAnsi="宋体"/>
              </w:rPr>
              <w:t>标准</w:t>
            </w:r>
          </w:p>
        </w:tc>
        <w:tc>
          <w:tcPr>
            <w:tcW w:w="2268" w:type="dxa"/>
            <w:vAlign w:val="center"/>
          </w:tcPr>
          <w:p>
            <w:pPr>
              <w:widowControl w:val="0"/>
              <w:spacing w:line="360" w:lineRule="exact"/>
              <w:jc w:val="center"/>
              <w:rPr>
                <w:rFonts w:ascii="宋体" w:hAnsi="宋体"/>
              </w:rPr>
            </w:pPr>
            <w:r>
              <w:rPr>
                <w:rFonts w:ascii="宋体" w:hAnsi="宋体"/>
              </w:rPr>
              <w:t>营业执照和组织机构代码证</w:t>
            </w:r>
          </w:p>
        </w:tc>
        <w:tc>
          <w:tcPr>
            <w:tcW w:w="5278" w:type="dxa"/>
            <w:vAlign w:val="center"/>
          </w:tcPr>
          <w:p>
            <w:pPr>
              <w:widowControl w:val="0"/>
              <w:spacing w:line="340" w:lineRule="exact"/>
              <w:rPr>
                <w:rFonts w:ascii="宋体" w:hAnsi="宋体"/>
              </w:rPr>
            </w:pPr>
            <w:r>
              <w:rPr>
                <w:rFonts w:ascii="宋体" w:hAnsi="宋体"/>
              </w:rPr>
              <w:t>符合第二章“投标人须知”第3.5.1项规定，具备有效的营业执照和组织机构代码证</w:t>
            </w:r>
            <w:r>
              <w:rPr>
                <w:rFonts w:ascii="宋体" w:hAnsi="宋体"/>
                <w:szCs w:val="21"/>
              </w:rPr>
              <w:t>（按照“三证合一”或“五证合一”登记制度进行登记的，可仅提供营业执照）</w:t>
            </w:r>
            <w:r>
              <w:rPr>
                <w:rFonts w:hint="eastAsia" w:ascii="宋体" w:hAnsi="宋体"/>
              </w:rPr>
              <w:t>原件，标书中附复印件。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17" w:type="dxa"/>
            <w:vMerge w:val="continue"/>
          </w:tcPr>
          <w:p>
            <w:pPr>
              <w:widowControl w:val="0"/>
              <w:spacing w:line="360" w:lineRule="exact"/>
              <w:jc w:val="left"/>
              <w:rPr>
                <w:rFonts w:ascii="宋体" w:hAnsi="宋体"/>
                <w:w w:val="99"/>
              </w:rPr>
            </w:pPr>
          </w:p>
        </w:tc>
        <w:tc>
          <w:tcPr>
            <w:tcW w:w="1418" w:type="dxa"/>
            <w:vMerge w:val="continue"/>
          </w:tcPr>
          <w:p>
            <w:pPr>
              <w:widowControl w:val="0"/>
              <w:spacing w:line="360" w:lineRule="exact"/>
              <w:jc w:val="left"/>
              <w:rPr>
                <w:rFonts w:ascii="宋体" w:hAnsi="宋体"/>
                <w:w w:val="99"/>
              </w:rPr>
            </w:pPr>
          </w:p>
        </w:tc>
        <w:tc>
          <w:tcPr>
            <w:tcW w:w="2268" w:type="dxa"/>
            <w:vAlign w:val="center"/>
          </w:tcPr>
          <w:p>
            <w:pPr>
              <w:widowControl w:val="0"/>
              <w:spacing w:line="360" w:lineRule="exact"/>
              <w:jc w:val="center"/>
              <w:rPr>
                <w:rFonts w:ascii="宋体" w:hAnsi="宋体"/>
              </w:rPr>
            </w:pPr>
            <w:r>
              <w:rPr>
                <w:rFonts w:ascii="宋体" w:hAnsi="宋体"/>
              </w:rPr>
              <w:t>财务要求</w:t>
            </w:r>
          </w:p>
        </w:tc>
        <w:tc>
          <w:tcPr>
            <w:tcW w:w="5278" w:type="dxa"/>
          </w:tcPr>
          <w:p>
            <w:pPr>
              <w:widowControl w:val="0"/>
              <w:spacing w:line="340" w:lineRule="exact"/>
              <w:jc w:val="left"/>
              <w:rPr>
                <w:rFonts w:ascii="宋体" w:hAnsi="宋体"/>
                <w:w w:val="99"/>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 xml:space="preserve">第 </w:t>
            </w:r>
            <w:r>
              <w:rPr>
                <w:rFonts w:ascii="宋体" w:hAnsi="宋体"/>
              </w:rPr>
              <w:t>1.4.1</w:t>
            </w:r>
            <w:r>
              <w:rPr>
                <w:rFonts w:hint="eastAsia" w:ascii="宋体" w:hAnsi="宋体"/>
              </w:rPr>
              <w:t xml:space="preserve"> 项规定，</w:t>
            </w:r>
            <w:r>
              <w:rPr>
                <w:rFonts w:hint="eastAsia" w:ascii="宋体" w:hAnsi="宋体" w:cs="宋体"/>
                <w:szCs w:val="21"/>
              </w:rPr>
              <w:t>标书中附复印件。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2" w:hRule="atLeast"/>
        </w:trPr>
        <w:tc>
          <w:tcPr>
            <w:tcW w:w="817" w:type="dxa"/>
            <w:vMerge w:val="continue"/>
          </w:tcPr>
          <w:p>
            <w:pPr>
              <w:widowControl w:val="0"/>
              <w:spacing w:line="360" w:lineRule="exact"/>
              <w:jc w:val="left"/>
              <w:rPr>
                <w:rFonts w:ascii="宋体" w:hAnsi="宋体"/>
                <w:w w:val="99"/>
              </w:rPr>
            </w:pPr>
          </w:p>
        </w:tc>
        <w:tc>
          <w:tcPr>
            <w:tcW w:w="1418" w:type="dxa"/>
            <w:vMerge w:val="continue"/>
          </w:tcPr>
          <w:p>
            <w:pPr>
              <w:widowControl w:val="0"/>
              <w:spacing w:line="360" w:lineRule="exact"/>
              <w:jc w:val="left"/>
              <w:rPr>
                <w:rFonts w:ascii="宋体" w:hAnsi="宋体"/>
                <w:w w:val="99"/>
              </w:rPr>
            </w:pPr>
          </w:p>
        </w:tc>
        <w:tc>
          <w:tcPr>
            <w:tcW w:w="2268" w:type="dxa"/>
            <w:vAlign w:val="center"/>
          </w:tcPr>
          <w:p>
            <w:pPr>
              <w:widowControl w:val="0"/>
              <w:spacing w:line="360" w:lineRule="exact"/>
              <w:jc w:val="center"/>
              <w:rPr>
                <w:rFonts w:ascii="宋体" w:hAnsi="宋体"/>
              </w:rPr>
            </w:pPr>
            <w:r>
              <w:rPr>
                <w:rFonts w:hint="eastAsia" w:ascii="宋体" w:hAnsi="宋体"/>
              </w:rPr>
              <w:t>信誉要求</w:t>
            </w:r>
          </w:p>
        </w:tc>
        <w:tc>
          <w:tcPr>
            <w:tcW w:w="5278" w:type="dxa"/>
          </w:tcPr>
          <w:p>
            <w:pPr>
              <w:widowControl w:val="0"/>
              <w:spacing w:line="340" w:lineRule="exact"/>
              <w:jc w:val="left"/>
              <w:rPr>
                <w:rFonts w:ascii="宋体" w:hAnsi="宋体"/>
                <w:w w:val="99"/>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 xml:space="preserve">第 </w:t>
            </w:r>
            <w:r>
              <w:rPr>
                <w:rFonts w:ascii="宋体" w:hAnsi="宋体"/>
              </w:rPr>
              <w:t>1.4.1</w:t>
            </w:r>
            <w:r>
              <w:rPr>
                <w:rFonts w:hint="eastAsia" w:ascii="宋体" w:hAnsi="宋体"/>
              </w:rPr>
              <w:t xml:space="preserve"> 项规定，标书中提供由法定代表人或授权代理人签字或盖章并加盖公章的承诺书</w:t>
            </w:r>
            <w:r>
              <w:rPr>
                <w:rFonts w:hint="eastAsia" w:ascii="宋体" w:hAnsi="宋体"/>
                <w:szCs w:val="21"/>
              </w:rPr>
              <w:t>（格式自拟）</w:t>
            </w:r>
            <w:r>
              <w:rPr>
                <w:rFonts w:hint="eastAsia" w:ascii="宋体" w:hAnsi="宋体"/>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817" w:type="dxa"/>
            <w:vMerge w:val="continue"/>
          </w:tcPr>
          <w:p>
            <w:pPr>
              <w:widowControl w:val="0"/>
              <w:spacing w:line="360" w:lineRule="exact"/>
              <w:jc w:val="left"/>
              <w:rPr>
                <w:rFonts w:ascii="宋体" w:hAnsi="宋体"/>
                <w:w w:val="99"/>
              </w:rPr>
            </w:pPr>
          </w:p>
        </w:tc>
        <w:tc>
          <w:tcPr>
            <w:tcW w:w="1418" w:type="dxa"/>
            <w:vMerge w:val="continue"/>
          </w:tcPr>
          <w:p>
            <w:pPr>
              <w:widowControl w:val="0"/>
              <w:spacing w:line="360" w:lineRule="exact"/>
              <w:jc w:val="left"/>
              <w:rPr>
                <w:rFonts w:ascii="宋体" w:hAnsi="宋体"/>
                <w:w w:val="99"/>
              </w:rPr>
            </w:pPr>
          </w:p>
        </w:tc>
        <w:tc>
          <w:tcPr>
            <w:tcW w:w="2268" w:type="dxa"/>
            <w:vAlign w:val="center"/>
          </w:tcPr>
          <w:p>
            <w:pPr>
              <w:widowControl w:val="0"/>
              <w:spacing w:line="360" w:lineRule="exact"/>
              <w:jc w:val="center"/>
              <w:rPr>
                <w:rFonts w:ascii="宋体" w:hAnsi="宋体"/>
              </w:rPr>
            </w:pPr>
            <w:r>
              <w:rPr>
                <w:rFonts w:hint="eastAsia" w:ascii="宋体" w:hAnsi="宋体"/>
              </w:rPr>
              <w:t>其他要求</w:t>
            </w:r>
          </w:p>
        </w:tc>
        <w:tc>
          <w:tcPr>
            <w:tcW w:w="5278" w:type="dxa"/>
            <w:vAlign w:val="center"/>
          </w:tcPr>
          <w:p>
            <w:pPr>
              <w:widowControl w:val="0"/>
              <w:spacing w:line="340" w:lineRule="exact"/>
              <w:rPr>
                <w:rFonts w:ascii="宋体" w:hAnsi="宋体"/>
                <w:bCs/>
                <w:szCs w:val="21"/>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 xml:space="preserve">第 </w:t>
            </w:r>
            <w:r>
              <w:rPr>
                <w:rFonts w:ascii="宋体" w:hAnsi="宋体"/>
              </w:rPr>
              <w:t>1.4.1</w:t>
            </w:r>
            <w:r>
              <w:rPr>
                <w:rFonts w:hint="eastAsia" w:ascii="宋体" w:hAnsi="宋体"/>
              </w:rPr>
              <w:t xml:space="preserve"> 项规定。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trPr>
        <w:tc>
          <w:tcPr>
            <w:tcW w:w="817" w:type="dxa"/>
            <w:vMerge w:val="continue"/>
          </w:tcPr>
          <w:p>
            <w:pPr>
              <w:widowControl w:val="0"/>
              <w:spacing w:line="360" w:lineRule="exact"/>
              <w:jc w:val="left"/>
              <w:rPr>
                <w:rFonts w:ascii="宋体" w:hAnsi="宋体"/>
                <w:w w:val="99"/>
              </w:rPr>
            </w:pPr>
          </w:p>
        </w:tc>
        <w:tc>
          <w:tcPr>
            <w:tcW w:w="1418" w:type="dxa"/>
            <w:vMerge w:val="continue"/>
          </w:tcPr>
          <w:p>
            <w:pPr>
              <w:widowControl w:val="0"/>
              <w:spacing w:line="360" w:lineRule="exact"/>
              <w:jc w:val="left"/>
              <w:rPr>
                <w:rFonts w:ascii="宋体" w:hAnsi="宋体"/>
                <w:w w:val="99"/>
              </w:rPr>
            </w:pPr>
          </w:p>
        </w:tc>
        <w:tc>
          <w:tcPr>
            <w:tcW w:w="2268" w:type="dxa"/>
            <w:vAlign w:val="center"/>
          </w:tcPr>
          <w:p>
            <w:pPr>
              <w:widowControl w:val="0"/>
              <w:spacing w:line="360" w:lineRule="exact"/>
              <w:jc w:val="center"/>
              <w:rPr>
                <w:rFonts w:ascii="宋体" w:hAnsi="宋体"/>
              </w:rPr>
            </w:pPr>
            <w:r>
              <w:rPr>
                <w:rFonts w:hint="eastAsia" w:ascii="宋体" w:hAnsi="宋体"/>
              </w:rPr>
              <w:t>不存在禁止投标的情形</w:t>
            </w:r>
          </w:p>
        </w:tc>
        <w:tc>
          <w:tcPr>
            <w:tcW w:w="5278" w:type="dxa"/>
          </w:tcPr>
          <w:p>
            <w:pPr>
              <w:widowControl w:val="0"/>
              <w:spacing w:line="340" w:lineRule="exact"/>
              <w:jc w:val="left"/>
              <w:rPr>
                <w:rFonts w:ascii="宋体" w:hAnsi="宋体"/>
                <w:w w:val="99"/>
              </w:rPr>
            </w:pPr>
            <w:r>
              <w:rPr>
                <w:rFonts w:hint="eastAsia" w:ascii="宋体" w:hAnsi="宋体" w:cs="宋体"/>
                <w:szCs w:val="21"/>
              </w:rPr>
              <w:t>不存在第二章“投标人须知”第 1.4.3 项规定的任何一种情形，标书中提供由法定代表人或授权代理人签字或盖章并加盖公章的承诺书；</w:t>
            </w:r>
            <w:r>
              <w:rPr>
                <w:rFonts w:hint="eastAsia" w:ascii="宋体" w:hAnsi="宋体" w:cs="宋体"/>
                <w:b/>
                <w:szCs w:val="21"/>
              </w:rPr>
              <w:t>投标人在中国裁判文书网打印的投标人或法定代表人、拟委任的项目负责人无行贿查询结果截图（并加盖公章）。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817" w:type="dxa"/>
            <w:vMerge w:val="restart"/>
            <w:vAlign w:val="center"/>
          </w:tcPr>
          <w:p>
            <w:pPr>
              <w:widowControl w:val="0"/>
              <w:spacing w:line="360" w:lineRule="exact"/>
              <w:jc w:val="center"/>
              <w:rPr>
                <w:rFonts w:ascii="宋体" w:hAnsi="宋体" w:cs="宋体"/>
                <w:w w:val="99"/>
              </w:rPr>
            </w:pPr>
            <w:r>
              <w:rPr>
                <w:rFonts w:hint="eastAsia" w:ascii="宋体" w:hAnsi="宋体" w:cs="宋体"/>
              </w:rPr>
              <w:t>2.1.3</w:t>
            </w:r>
          </w:p>
        </w:tc>
        <w:tc>
          <w:tcPr>
            <w:tcW w:w="1418" w:type="dxa"/>
            <w:vMerge w:val="restart"/>
            <w:vAlign w:val="center"/>
          </w:tcPr>
          <w:p>
            <w:pPr>
              <w:widowControl w:val="0"/>
              <w:spacing w:line="360" w:lineRule="exact"/>
              <w:jc w:val="center"/>
              <w:rPr>
                <w:rFonts w:ascii="宋体" w:hAnsi="宋体"/>
              </w:rPr>
            </w:pPr>
            <w:r>
              <w:rPr>
                <w:rFonts w:hint="eastAsia" w:ascii="宋体" w:hAnsi="宋体"/>
              </w:rPr>
              <w:t>响应性评</w:t>
            </w:r>
          </w:p>
          <w:p>
            <w:pPr>
              <w:widowControl w:val="0"/>
              <w:spacing w:line="360" w:lineRule="exact"/>
              <w:jc w:val="center"/>
              <w:rPr>
                <w:rFonts w:ascii="宋体" w:hAnsi="宋体"/>
              </w:rPr>
            </w:pPr>
            <w:r>
              <w:rPr>
                <w:rFonts w:hint="eastAsia" w:ascii="宋体" w:hAnsi="宋体"/>
              </w:rPr>
              <w:t>审标准</w:t>
            </w:r>
          </w:p>
        </w:tc>
        <w:tc>
          <w:tcPr>
            <w:tcW w:w="2268" w:type="dxa"/>
            <w:vAlign w:val="center"/>
          </w:tcPr>
          <w:p>
            <w:pPr>
              <w:widowControl w:val="0"/>
              <w:spacing w:line="360" w:lineRule="exact"/>
              <w:jc w:val="center"/>
              <w:rPr>
                <w:rFonts w:ascii="宋体" w:hAnsi="宋体"/>
              </w:rPr>
            </w:pPr>
            <w:r>
              <w:rPr>
                <w:rFonts w:hint="eastAsia" w:ascii="宋体" w:hAnsi="宋体"/>
              </w:rPr>
              <w:t>投标报价</w:t>
            </w:r>
          </w:p>
        </w:tc>
        <w:tc>
          <w:tcPr>
            <w:tcW w:w="5278" w:type="dxa"/>
            <w:vAlign w:val="center"/>
          </w:tcPr>
          <w:p>
            <w:pPr>
              <w:widowControl w:val="0"/>
              <w:spacing w:line="34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 xml:space="preserve">第 </w:t>
            </w:r>
            <w:r>
              <w:rPr>
                <w:rFonts w:ascii="宋体" w:hAnsi="宋体"/>
              </w:rPr>
              <w:t>3.2</w:t>
            </w:r>
            <w:r>
              <w:rPr>
                <w:rFonts w:hint="eastAsia" w:ascii="宋体" w:hAnsi="宋体"/>
              </w:rPr>
              <w:t xml:space="preserve"> 款规定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817" w:type="dxa"/>
            <w:vMerge w:val="continue"/>
          </w:tcPr>
          <w:p>
            <w:pPr>
              <w:widowControl w:val="0"/>
              <w:spacing w:line="360" w:lineRule="exact"/>
              <w:jc w:val="left"/>
              <w:rPr>
                <w:rFonts w:ascii="宋体" w:hAnsi="宋体"/>
                <w:w w:val="99"/>
              </w:rPr>
            </w:pPr>
          </w:p>
        </w:tc>
        <w:tc>
          <w:tcPr>
            <w:tcW w:w="1418" w:type="dxa"/>
            <w:vMerge w:val="continue"/>
          </w:tcPr>
          <w:p>
            <w:pPr>
              <w:widowControl w:val="0"/>
              <w:spacing w:line="360" w:lineRule="exact"/>
              <w:jc w:val="center"/>
              <w:rPr>
                <w:rFonts w:ascii="宋体" w:hAnsi="宋体"/>
              </w:rPr>
            </w:pPr>
          </w:p>
        </w:tc>
        <w:tc>
          <w:tcPr>
            <w:tcW w:w="2268" w:type="dxa"/>
            <w:vAlign w:val="center"/>
          </w:tcPr>
          <w:p>
            <w:pPr>
              <w:widowControl w:val="0"/>
              <w:spacing w:line="360" w:lineRule="exact"/>
              <w:jc w:val="center"/>
              <w:rPr>
                <w:rFonts w:ascii="宋体" w:hAnsi="宋体"/>
              </w:rPr>
            </w:pPr>
            <w:r>
              <w:rPr>
                <w:rFonts w:hint="eastAsia" w:ascii="宋体" w:hAnsi="宋体"/>
              </w:rPr>
              <w:t>投标内容</w:t>
            </w:r>
          </w:p>
        </w:tc>
        <w:tc>
          <w:tcPr>
            <w:tcW w:w="5278" w:type="dxa"/>
            <w:vAlign w:val="center"/>
          </w:tcPr>
          <w:p>
            <w:pPr>
              <w:widowControl w:val="0"/>
              <w:spacing w:line="34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 xml:space="preserve">第 </w:t>
            </w:r>
            <w:r>
              <w:rPr>
                <w:rFonts w:ascii="宋体" w:hAnsi="宋体"/>
              </w:rPr>
              <w:t>1.3.1</w:t>
            </w:r>
            <w:r>
              <w:rPr>
                <w:rFonts w:hint="eastAsia" w:ascii="宋体" w:hAnsi="宋体"/>
              </w:rPr>
              <w:t xml:space="preserve"> 项规定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817" w:type="dxa"/>
            <w:vMerge w:val="continue"/>
          </w:tcPr>
          <w:p>
            <w:pPr>
              <w:widowControl w:val="0"/>
              <w:spacing w:line="360" w:lineRule="exact"/>
              <w:jc w:val="left"/>
              <w:rPr>
                <w:rFonts w:ascii="宋体" w:hAnsi="宋体"/>
                <w:w w:val="99"/>
              </w:rPr>
            </w:pPr>
          </w:p>
        </w:tc>
        <w:tc>
          <w:tcPr>
            <w:tcW w:w="1418" w:type="dxa"/>
            <w:vMerge w:val="continue"/>
          </w:tcPr>
          <w:p>
            <w:pPr>
              <w:widowControl w:val="0"/>
              <w:spacing w:line="360" w:lineRule="exact"/>
              <w:jc w:val="center"/>
              <w:rPr>
                <w:rFonts w:ascii="宋体" w:hAnsi="宋体"/>
              </w:rPr>
            </w:pPr>
          </w:p>
        </w:tc>
        <w:tc>
          <w:tcPr>
            <w:tcW w:w="2268" w:type="dxa"/>
            <w:vAlign w:val="center"/>
          </w:tcPr>
          <w:p>
            <w:pPr>
              <w:widowControl w:val="0"/>
              <w:spacing w:line="360" w:lineRule="exact"/>
              <w:jc w:val="center"/>
              <w:rPr>
                <w:rFonts w:ascii="宋体" w:hAnsi="宋体"/>
              </w:rPr>
            </w:pPr>
            <w:r>
              <w:rPr>
                <w:rFonts w:hint="eastAsia" w:ascii="宋体" w:hAnsi="宋体"/>
                <w:bCs/>
              </w:rPr>
              <w:t>交货日期</w:t>
            </w:r>
          </w:p>
        </w:tc>
        <w:tc>
          <w:tcPr>
            <w:tcW w:w="5278" w:type="dxa"/>
            <w:vAlign w:val="center"/>
          </w:tcPr>
          <w:p>
            <w:pPr>
              <w:widowControl w:val="0"/>
              <w:spacing w:line="34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 xml:space="preserve">第 </w:t>
            </w:r>
            <w:r>
              <w:rPr>
                <w:rFonts w:ascii="宋体" w:hAnsi="宋体"/>
              </w:rPr>
              <w:t>1.3.2</w:t>
            </w:r>
            <w:r>
              <w:rPr>
                <w:rFonts w:hint="eastAsia" w:ascii="宋体" w:hAnsi="宋体"/>
              </w:rPr>
              <w:t xml:space="preserve"> 项规定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817" w:type="dxa"/>
            <w:vMerge w:val="continue"/>
          </w:tcPr>
          <w:p>
            <w:pPr>
              <w:widowControl w:val="0"/>
              <w:spacing w:line="360" w:lineRule="exact"/>
              <w:jc w:val="left"/>
              <w:rPr>
                <w:rFonts w:ascii="宋体" w:hAnsi="宋体"/>
                <w:w w:val="99"/>
              </w:rPr>
            </w:pPr>
          </w:p>
        </w:tc>
        <w:tc>
          <w:tcPr>
            <w:tcW w:w="1418" w:type="dxa"/>
            <w:vMerge w:val="continue"/>
          </w:tcPr>
          <w:p>
            <w:pPr>
              <w:widowControl w:val="0"/>
              <w:spacing w:line="360" w:lineRule="exact"/>
              <w:jc w:val="center"/>
              <w:rPr>
                <w:rFonts w:ascii="宋体" w:hAnsi="宋体"/>
              </w:rPr>
            </w:pPr>
          </w:p>
        </w:tc>
        <w:tc>
          <w:tcPr>
            <w:tcW w:w="2268" w:type="dxa"/>
            <w:vAlign w:val="center"/>
          </w:tcPr>
          <w:p>
            <w:pPr>
              <w:widowControl w:val="0"/>
              <w:spacing w:line="360" w:lineRule="exact"/>
              <w:jc w:val="center"/>
              <w:rPr>
                <w:rFonts w:ascii="宋体" w:hAnsi="宋体"/>
              </w:rPr>
            </w:pPr>
            <w:r>
              <w:rPr>
                <w:rFonts w:hint="eastAsia" w:ascii="宋体" w:hAnsi="宋体"/>
              </w:rPr>
              <w:t>交货地点</w:t>
            </w:r>
          </w:p>
        </w:tc>
        <w:tc>
          <w:tcPr>
            <w:tcW w:w="5278" w:type="dxa"/>
            <w:vAlign w:val="center"/>
          </w:tcPr>
          <w:p>
            <w:pPr>
              <w:widowControl w:val="0"/>
              <w:spacing w:line="34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 xml:space="preserve">第 </w:t>
            </w:r>
            <w:r>
              <w:rPr>
                <w:rFonts w:ascii="宋体" w:hAnsi="宋体"/>
              </w:rPr>
              <w:t>1.3.3</w:t>
            </w:r>
            <w:r>
              <w:rPr>
                <w:rFonts w:hint="eastAsia" w:ascii="宋体" w:hAnsi="宋体"/>
              </w:rPr>
              <w:t xml:space="preserve"> 项规定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817" w:type="dxa"/>
            <w:vMerge w:val="continue"/>
          </w:tcPr>
          <w:p>
            <w:pPr>
              <w:widowControl w:val="0"/>
              <w:spacing w:line="360" w:lineRule="exact"/>
              <w:jc w:val="left"/>
              <w:rPr>
                <w:rFonts w:ascii="宋体" w:hAnsi="宋体"/>
                <w:w w:val="99"/>
              </w:rPr>
            </w:pPr>
          </w:p>
        </w:tc>
        <w:tc>
          <w:tcPr>
            <w:tcW w:w="1418" w:type="dxa"/>
            <w:vMerge w:val="continue"/>
          </w:tcPr>
          <w:p>
            <w:pPr>
              <w:widowControl w:val="0"/>
              <w:spacing w:line="360" w:lineRule="exact"/>
              <w:jc w:val="center"/>
              <w:rPr>
                <w:rFonts w:ascii="宋体" w:hAnsi="宋体"/>
              </w:rPr>
            </w:pPr>
          </w:p>
        </w:tc>
        <w:tc>
          <w:tcPr>
            <w:tcW w:w="2268" w:type="dxa"/>
            <w:vAlign w:val="center"/>
          </w:tcPr>
          <w:p>
            <w:pPr>
              <w:widowControl w:val="0"/>
              <w:spacing w:line="360" w:lineRule="exact"/>
              <w:jc w:val="center"/>
              <w:rPr>
                <w:rFonts w:ascii="宋体" w:hAnsi="宋体"/>
              </w:rPr>
            </w:pPr>
            <w:r>
              <w:rPr>
                <w:rFonts w:hint="eastAsia" w:ascii="宋体" w:hAnsi="宋体" w:cs="宋体"/>
                <w:bCs/>
                <w:szCs w:val="21"/>
              </w:rPr>
              <w:t>技术性能指标</w:t>
            </w:r>
          </w:p>
        </w:tc>
        <w:tc>
          <w:tcPr>
            <w:tcW w:w="5278" w:type="dxa"/>
            <w:vAlign w:val="center"/>
          </w:tcPr>
          <w:p>
            <w:pPr>
              <w:widowControl w:val="0"/>
              <w:spacing w:line="34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 xml:space="preserve">第 </w:t>
            </w:r>
            <w:r>
              <w:rPr>
                <w:rFonts w:ascii="宋体" w:hAnsi="宋体"/>
              </w:rPr>
              <w:t>1.3.</w:t>
            </w:r>
            <w:r>
              <w:rPr>
                <w:rFonts w:hint="eastAsia" w:ascii="宋体" w:hAnsi="宋体"/>
              </w:rPr>
              <w:t>4 项规定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817" w:type="dxa"/>
            <w:vMerge w:val="continue"/>
          </w:tcPr>
          <w:p>
            <w:pPr>
              <w:widowControl w:val="0"/>
              <w:spacing w:line="360" w:lineRule="exact"/>
              <w:jc w:val="left"/>
              <w:rPr>
                <w:rFonts w:ascii="宋体" w:hAnsi="宋体"/>
                <w:w w:val="99"/>
              </w:rPr>
            </w:pPr>
          </w:p>
        </w:tc>
        <w:tc>
          <w:tcPr>
            <w:tcW w:w="1418" w:type="dxa"/>
            <w:vMerge w:val="continue"/>
          </w:tcPr>
          <w:p>
            <w:pPr>
              <w:widowControl w:val="0"/>
              <w:spacing w:line="360" w:lineRule="exact"/>
              <w:jc w:val="center"/>
              <w:rPr>
                <w:rFonts w:ascii="宋体" w:hAnsi="宋体"/>
              </w:rPr>
            </w:pPr>
          </w:p>
        </w:tc>
        <w:tc>
          <w:tcPr>
            <w:tcW w:w="2268" w:type="dxa"/>
            <w:vAlign w:val="center"/>
          </w:tcPr>
          <w:p>
            <w:pPr>
              <w:widowControl w:val="0"/>
              <w:spacing w:line="360" w:lineRule="exact"/>
              <w:jc w:val="center"/>
              <w:rPr>
                <w:rFonts w:ascii="宋体" w:hAnsi="宋体"/>
              </w:rPr>
            </w:pPr>
            <w:r>
              <w:rPr>
                <w:rFonts w:hint="eastAsia" w:ascii="宋体" w:hAnsi="宋体"/>
              </w:rPr>
              <w:t>投标有效期</w:t>
            </w:r>
          </w:p>
        </w:tc>
        <w:tc>
          <w:tcPr>
            <w:tcW w:w="5278" w:type="dxa"/>
            <w:vAlign w:val="center"/>
          </w:tcPr>
          <w:p>
            <w:pPr>
              <w:widowControl w:val="0"/>
              <w:spacing w:line="34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 xml:space="preserve">第 </w:t>
            </w:r>
            <w:r>
              <w:rPr>
                <w:rFonts w:ascii="宋体" w:hAnsi="宋体"/>
              </w:rPr>
              <w:t>3.3.1</w:t>
            </w:r>
            <w:r>
              <w:rPr>
                <w:rFonts w:hint="eastAsia" w:ascii="宋体" w:hAnsi="宋体"/>
              </w:rPr>
              <w:t xml:space="preserve"> 项规定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817" w:type="dxa"/>
            <w:vMerge w:val="continue"/>
          </w:tcPr>
          <w:p>
            <w:pPr>
              <w:widowControl w:val="0"/>
              <w:spacing w:line="360" w:lineRule="exact"/>
              <w:jc w:val="left"/>
              <w:rPr>
                <w:rFonts w:ascii="宋体" w:hAnsi="宋体"/>
                <w:w w:val="99"/>
              </w:rPr>
            </w:pPr>
          </w:p>
        </w:tc>
        <w:tc>
          <w:tcPr>
            <w:tcW w:w="1418" w:type="dxa"/>
            <w:vMerge w:val="continue"/>
          </w:tcPr>
          <w:p>
            <w:pPr>
              <w:widowControl w:val="0"/>
              <w:spacing w:line="360" w:lineRule="exact"/>
              <w:jc w:val="center"/>
              <w:rPr>
                <w:rFonts w:ascii="宋体" w:hAnsi="宋体"/>
              </w:rPr>
            </w:pPr>
          </w:p>
        </w:tc>
        <w:tc>
          <w:tcPr>
            <w:tcW w:w="2268" w:type="dxa"/>
            <w:vAlign w:val="center"/>
          </w:tcPr>
          <w:p>
            <w:pPr>
              <w:widowControl w:val="0"/>
              <w:spacing w:line="360" w:lineRule="exact"/>
              <w:jc w:val="center"/>
              <w:rPr>
                <w:rFonts w:ascii="宋体" w:hAnsi="宋体"/>
              </w:rPr>
            </w:pPr>
            <w:r>
              <w:rPr>
                <w:rFonts w:hint="eastAsia" w:ascii="宋体" w:hAnsi="宋体"/>
              </w:rPr>
              <w:t>投标保证金</w:t>
            </w:r>
          </w:p>
        </w:tc>
        <w:tc>
          <w:tcPr>
            <w:tcW w:w="5278" w:type="dxa"/>
            <w:vAlign w:val="center"/>
          </w:tcPr>
          <w:p>
            <w:pPr>
              <w:widowControl w:val="0"/>
              <w:spacing w:line="34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 xml:space="preserve">第 </w:t>
            </w:r>
            <w:r>
              <w:rPr>
                <w:rFonts w:ascii="宋体" w:hAnsi="宋体"/>
              </w:rPr>
              <w:t>3.4.1</w:t>
            </w:r>
            <w:r>
              <w:rPr>
                <w:rFonts w:hint="eastAsia" w:ascii="宋体" w:hAnsi="宋体"/>
              </w:rPr>
              <w:t xml:space="preserve"> 项规定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trPr>
        <w:tc>
          <w:tcPr>
            <w:tcW w:w="817" w:type="dxa"/>
            <w:vMerge w:val="continue"/>
          </w:tcPr>
          <w:p>
            <w:pPr>
              <w:widowControl w:val="0"/>
              <w:spacing w:line="360" w:lineRule="exact"/>
              <w:jc w:val="left"/>
              <w:rPr>
                <w:rFonts w:ascii="宋体" w:hAnsi="宋体"/>
                <w:w w:val="99"/>
              </w:rPr>
            </w:pPr>
          </w:p>
        </w:tc>
        <w:tc>
          <w:tcPr>
            <w:tcW w:w="1418" w:type="dxa"/>
            <w:vMerge w:val="continue"/>
          </w:tcPr>
          <w:p>
            <w:pPr>
              <w:widowControl w:val="0"/>
              <w:spacing w:line="360" w:lineRule="exact"/>
              <w:jc w:val="center"/>
              <w:rPr>
                <w:rFonts w:ascii="宋体" w:hAnsi="宋体"/>
              </w:rPr>
            </w:pPr>
          </w:p>
        </w:tc>
        <w:tc>
          <w:tcPr>
            <w:tcW w:w="2268" w:type="dxa"/>
            <w:vAlign w:val="center"/>
          </w:tcPr>
          <w:p>
            <w:pPr>
              <w:widowControl w:val="0"/>
              <w:spacing w:line="360" w:lineRule="exact"/>
              <w:jc w:val="center"/>
              <w:rPr>
                <w:rFonts w:ascii="宋体" w:hAnsi="宋体"/>
              </w:rPr>
            </w:pPr>
            <w:r>
              <w:rPr>
                <w:rFonts w:hint="eastAsia" w:ascii="宋体" w:hAnsi="宋体"/>
              </w:rPr>
              <w:t>权利义务</w:t>
            </w:r>
          </w:p>
        </w:tc>
        <w:tc>
          <w:tcPr>
            <w:tcW w:w="5278" w:type="dxa"/>
            <w:vAlign w:val="center"/>
          </w:tcPr>
          <w:p>
            <w:pPr>
              <w:widowControl w:val="0"/>
              <w:spacing w:line="340" w:lineRule="exact"/>
              <w:rPr>
                <w:rFonts w:ascii="宋体" w:hAnsi="宋体"/>
              </w:rPr>
            </w:pPr>
            <w:r>
              <w:rPr>
                <w:rFonts w:hint="eastAsia" w:ascii="宋体" w:hAnsi="宋体"/>
              </w:rPr>
              <w:t>符合第二章“投标人须知”第 1.11.1 项规定和第四章“合同条款及格式”中的实质性要求和条件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5" w:hRule="exact"/>
        </w:trPr>
        <w:tc>
          <w:tcPr>
            <w:tcW w:w="817" w:type="dxa"/>
            <w:vMerge w:val="continue"/>
          </w:tcPr>
          <w:p>
            <w:pPr>
              <w:widowControl w:val="0"/>
              <w:spacing w:line="360" w:lineRule="exact"/>
              <w:jc w:val="left"/>
              <w:rPr>
                <w:rFonts w:ascii="宋体" w:hAnsi="宋体"/>
                <w:w w:val="99"/>
              </w:rPr>
            </w:pPr>
          </w:p>
        </w:tc>
        <w:tc>
          <w:tcPr>
            <w:tcW w:w="1418" w:type="dxa"/>
            <w:vMerge w:val="continue"/>
          </w:tcPr>
          <w:p>
            <w:pPr>
              <w:widowControl w:val="0"/>
              <w:spacing w:line="360" w:lineRule="exact"/>
              <w:jc w:val="center"/>
              <w:rPr>
                <w:rFonts w:ascii="宋体" w:hAnsi="宋体"/>
              </w:rPr>
            </w:pPr>
          </w:p>
        </w:tc>
        <w:tc>
          <w:tcPr>
            <w:tcW w:w="2268" w:type="dxa"/>
            <w:vAlign w:val="center"/>
          </w:tcPr>
          <w:p>
            <w:pPr>
              <w:widowControl w:val="0"/>
              <w:spacing w:line="360" w:lineRule="exact"/>
              <w:jc w:val="center"/>
              <w:rPr>
                <w:rFonts w:ascii="宋体" w:hAnsi="宋体"/>
              </w:rPr>
            </w:pPr>
            <w:r>
              <w:rPr>
                <w:rFonts w:hint="eastAsia" w:ascii="宋体" w:hAnsi="宋体"/>
              </w:rPr>
              <w:t>投标设备及技术服务和质保期服务</w:t>
            </w:r>
          </w:p>
        </w:tc>
        <w:tc>
          <w:tcPr>
            <w:tcW w:w="5278" w:type="dxa"/>
            <w:vAlign w:val="center"/>
          </w:tcPr>
          <w:p>
            <w:pPr>
              <w:widowControl w:val="0"/>
              <w:spacing w:line="340" w:lineRule="exact"/>
              <w:rPr>
                <w:rFonts w:ascii="宋体" w:hAnsi="宋体"/>
              </w:rPr>
            </w:pPr>
            <w:r>
              <w:rPr>
                <w:rFonts w:hint="eastAsia" w:ascii="宋体" w:hAnsi="宋体"/>
              </w:rPr>
              <w:t>符合第五章“供货要求”中的实质性要求和条件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9" w:hRule="exact"/>
        </w:trPr>
        <w:tc>
          <w:tcPr>
            <w:tcW w:w="817" w:type="dxa"/>
            <w:vMerge w:val="continue"/>
          </w:tcPr>
          <w:p>
            <w:pPr>
              <w:widowControl w:val="0"/>
              <w:spacing w:line="360" w:lineRule="exact"/>
              <w:jc w:val="left"/>
              <w:rPr>
                <w:rFonts w:ascii="宋体" w:hAnsi="宋体"/>
                <w:w w:val="99"/>
              </w:rPr>
            </w:pPr>
          </w:p>
        </w:tc>
        <w:tc>
          <w:tcPr>
            <w:tcW w:w="1418" w:type="dxa"/>
            <w:vMerge w:val="continue"/>
          </w:tcPr>
          <w:p>
            <w:pPr>
              <w:widowControl w:val="0"/>
              <w:spacing w:line="360" w:lineRule="exact"/>
              <w:jc w:val="left"/>
              <w:rPr>
                <w:rFonts w:ascii="宋体" w:hAnsi="宋体"/>
                <w:w w:val="99"/>
              </w:rPr>
            </w:pPr>
          </w:p>
        </w:tc>
        <w:tc>
          <w:tcPr>
            <w:tcW w:w="2268" w:type="dxa"/>
            <w:vAlign w:val="center"/>
          </w:tcPr>
          <w:p>
            <w:pPr>
              <w:widowControl w:val="0"/>
              <w:spacing w:line="360" w:lineRule="exact"/>
              <w:jc w:val="center"/>
              <w:rPr>
                <w:rFonts w:ascii="宋体" w:hAnsi="宋体"/>
              </w:rPr>
            </w:pPr>
            <w:r>
              <w:rPr>
                <w:rFonts w:hint="eastAsia" w:ascii="宋体" w:hAnsi="宋体"/>
              </w:rPr>
              <w:t>技术支持资料</w:t>
            </w:r>
          </w:p>
        </w:tc>
        <w:tc>
          <w:tcPr>
            <w:tcW w:w="5278" w:type="dxa"/>
            <w:vAlign w:val="center"/>
          </w:tcPr>
          <w:p>
            <w:pPr>
              <w:widowControl w:val="0"/>
              <w:spacing w:line="34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第1.11.3项规定。</w:t>
            </w:r>
          </w:p>
        </w:tc>
      </w:tr>
    </w:tbl>
    <w:p>
      <w:pPr>
        <w:spacing w:line="360" w:lineRule="exact"/>
        <w:jc w:val="left"/>
        <w:rPr>
          <w:sz w:val="24"/>
        </w:rPr>
      </w:pPr>
    </w:p>
    <w:tbl>
      <w:tblPr>
        <w:tblStyle w:val="68"/>
        <w:tblW w:w="9889"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440"/>
        <w:gridCol w:w="2188"/>
        <w:gridCol w:w="510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4" w:hRule="exact"/>
        </w:trPr>
        <w:tc>
          <w:tcPr>
            <w:tcW w:w="2598" w:type="dxa"/>
            <w:gridSpan w:val="2"/>
            <w:tcBorders>
              <w:top w:val="single" w:color="auto" w:sz="12" w:space="0"/>
            </w:tcBorders>
            <w:vAlign w:val="center"/>
          </w:tcPr>
          <w:p>
            <w:pPr>
              <w:widowControl w:val="0"/>
              <w:spacing w:line="360" w:lineRule="exact"/>
              <w:jc w:val="center"/>
              <w:rPr>
                <w:rFonts w:ascii="宋体"/>
                <w:b/>
              </w:rPr>
            </w:pPr>
            <w:r>
              <w:rPr>
                <w:rFonts w:hint="eastAsia" w:ascii="宋体" w:hAnsi="宋体"/>
                <w:b/>
              </w:rPr>
              <w:t>条款号</w:t>
            </w:r>
          </w:p>
        </w:tc>
        <w:tc>
          <w:tcPr>
            <w:tcW w:w="2188" w:type="dxa"/>
            <w:tcBorders>
              <w:top w:val="single" w:color="auto" w:sz="12" w:space="0"/>
            </w:tcBorders>
            <w:vAlign w:val="center"/>
          </w:tcPr>
          <w:p>
            <w:pPr>
              <w:widowControl w:val="0"/>
              <w:spacing w:line="360" w:lineRule="exact"/>
              <w:jc w:val="center"/>
              <w:rPr>
                <w:rFonts w:ascii="宋体"/>
                <w:b/>
              </w:rPr>
            </w:pPr>
            <w:r>
              <w:rPr>
                <w:rFonts w:hint="eastAsia" w:ascii="宋体" w:hAnsi="宋体"/>
                <w:b/>
              </w:rPr>
              <w:t>条款内容</w:t>
            </w:r>
          </w:p>
        </w:tc>
        <w:tc>
          <w:tcPr>
            <w:tcW w:w="5103" w:type="dxa"/>
            <w:tcBorders>
              <w:top w:val="single" w:color="auto" w:sz="12" w:space="0"/>
            </w:tcBorders>
            <w:vAlign w:val="center"/>
          </w:tcPr>
          <w:p>
            <w:pPr>
              <w:widowControl w:val="0"/>
              <w:spacing w:line="360" w:lineRule="exact"/>
              <w:jc w:val="center"/>
              <w:rPr>
                <w:rFonts w:ascii="宋体"/>
                <w:b/>
              </w:rPr>
            </w:pPr>
            <w:r>
              <w:rPr>
                <w:rFonts w:hint="eastAsia" w:ascii="宋体" w:hAnsi="宋体"/>
                <w:b/>
              </w:rPr>
              <w:t>编列内容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62" w:hRule="atLeast"/>
        </w:trPr>
        <w:tc>
          <w:tcPr>
            <w:tcW w:w="2598" w:type="dxa"/>
            <w:gridSpan w:val="2"/>
            <w:vAlign w:val="center"/>
          </w:tcPr>
          <w:p>
            <w:pPr>
              <w:widowControl w:val="0"/>
              <w:spacing w:line="360" w:lineRule="exact"/>
              <w:jc w:val="center"/>
              <w:rPr>
                <w:rFonts w:ascii="宋体"/>
              </w:rPr>
            </w:pPr>
            <w:r>
              <w:rPr>
                <w:rFonts w:ascii="宋体" w:hAnsi="宋体"/>
              </w:rPr>
              <w:t>2.2.1</w:t>
            </w:r>
          </w:p>
        </w:tc>
        <w:tc>
          <w:tcPr>
            <w:tcW w:w="2188" w:type="dxa"/>
            <w:vAlign w:val="center"/>
          </w:tcPr>
          <w:p>
            <w:pPr>
              <w:widowControl w:val="0"/>
              <w:spacing w:line="360" w:lineRule="exact"/>
              <w:jc w:val="center"/>
              <w:rPr>
                <w:rFonts w:ascii="宋体"/>
              </w:rPr>
            </w:pPr>
            <w:r>
              <w:rPr>
                <w:rFonts w:hint="eastAsia" w:ascii="宋体" w:hAnsi="宋体"/>
              </w:rPr>
              <w:t>分值构成</w:t>
            </w:r>
          </w:p>
          <w:p>
            <w:pPr>
              <w:widowControl w:val="0"/>
              <w:spacing w:line="360" w:lineRule="exact"/>
              <w:jc w:val="center"/>
              <w:rPr>
                <w:rFonts w:ascii="宋体"/>
              </w:rPr>
            </w:pPr>
            <w:r>
              <w:rPr>
                <w:rFonts w:ascii="宋体" w:hAnsi="宋体"/>
              </w:rPr>
              <w:t>(</w:t>
            </w:r>
            <w:r>
              <w:rPr>
                <w:rFonts w:hint="eastAsia" w:ascii="宋体" w:hAnsi="宋体"/>
              </w:rPr>
              <w:t>总分</w:t>
            </w:r>
            <w:r>
              <w:rPr>
                <w:rFonts w:ascii="宋体" w:hAnsi="宋体"/>
              </w:rPr>
              <w:t xml:space="preserve"> 100 </w:t>
            </w:r>
            <w:r>
              <w:rPr>
                <w:rFonts w:hint="eastAsia" w:ascii="宋体" w:hAnsi="宋体"/>
              </w:rPr>
              <w:t>分</w:t>
            </w:r>
            <w:r>
              <w:rPr>
                <w:rFonts w:ascii="宋体" w:hAnsi="宋体"/>
              </w:rPr>
              <w:t>)</w:t>
            </w:r>
          </w:p>
        </w:tc>
        <w:tc>
          <w:tcPr>
            <w:tcW w:w="5103" w:type="dxa"/>
            <w:vAlign w:val="center"/>
          </w:tcPr>
          <w:p>
            <w:pPr>
              <w:widowControl w:val="0"/>
              <w:spacing w:line="340" w:lineRule="exact"/>
              <w:rPr>
                <w:rFonts w:ascii="宋体"/>
                <w:color w:val="FF0000"/>
              </w:rPr>
            </w:pPr>
            <w:r>
              <w:rPr>
                <w:rFonts w:hint="eastAsia" w:ascii="宋体" w:hAnsi="宋体"/>
              </w:rPr>
              <w:t>商务部分：</w:t>
            </w:r>
            <w:r>
              <w:rPr>
                <w:rFonts w:ascii="宋体" w:hAnsi="宋体"/>
                <w:u w:val="single"/>
              </w:rPr>
              <w:t>10</w:t>
            </w:r>
            <w:r>
              <w:rPr>
                <w:rFonts w:hint="eastAsia" w:ascii="宋体" w:hAnsi="宋体"/>
              </w:rPr>
              <w:t>分</w:t>
            </w:r>
          </w:p>
          <w:p>
            <w:pPr>
              <w:widowControl w:val="0"/>
              <w:spacing w:line="340" w:lineRule="exact"/>
              <w:rPr>
                <w:rFonts w:ascii="宋体"/>
              </w:rPr>
            </w:pPr>
            <w:r>
              <w:rPr>
                <w:rFonts w:hint="eastAsia" w:ascii="宋体" w:hAnsi="宋体"/>
              </w:rPr>
              <w:t>技术部分：</w:t>
            </w:r>
            <w:r>
              <w:rPr>
                <w:rFonts w:ascii="宋体" w:hAnsi="宋体"/>
                <w:u w:val="single"/>
              </w:rPr>
              <w:t xml:space="preserve">   36</w:t>
            </w:r>
            <w:r>
              <w:rPr>
                <w:rFonts w:hint="eastAsia" w:ascii="宋体" w:hAnsi="宋体"/>
              </w:rPr>
              <w:t>分</w:t>
            </w:r>
          </w:p>
          <w:p>
            <w:pPr>
              <w:widowControl w:val="0"/>
              <w:spacing w:line="340" w:lineRule="exact"/>
              <w:rPr>
                <w:rFonts w:ascii="宋体"/>
              </w:rPr>
            </w:pPr>
            <w:r>
              <w:rPr>
                <w:rFonts w:hint="eastAsia" w:ascii="宋体" w:hAnsi="宋体"/>
              </w:rPr>
              <w:t>投标报价：</w:t>
            </w:r>
            <w:r>
              <w:rPr>
                <w:rFonts w:ascii="宋体" w:hAnsi="宋体"/>
                <w:u w:val="single"/>
              </w:rPr>
              <w:t xml:space="preserve">   50    </w:t>
            </w:r>
            <w:r>
              <w:rPr>
                <w:rFonts w:hint="eastAsia" w:ascii="宋体" w:hAnsi="宋体"/>
              </w:rPr>
              <w:t>分</w:t>
            </w:r>
          </w:p>
          <w:p>
            <w:pPr>
              <w:widowControl w:val="0"/>
              <w:spacing w:line="340" w:lineRule="exact"/>
              <w:rPr>
                <w:rFonts w:ascii="宋体"/>
              </w:rPr>
            </w:pPr>
            <w:r>
              <w:rPr>
                <w:rFonts w:hint="eastAsia" w:ascii="宋体" w:hAnsi="宋体"/>
              </w:rPr>
              <w:t>其他评分因素：</w:t>
            </w:r>
            <w:r>
              <w:rPr>
                <w:rFonts w:ascii="宋体" w:hAnsi="宋体"/>
                <w:u w:val="single"/>
              </w:rPr>
              <w:t>4</w:t>
            </w:r>
            <w:r>
              <w:rPr>
                <w:rFonts w:hint="eastAsia" w:ascii="宋体" w:hAnsi="宋体"/>
              </w:rPr>
              <w:t>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9" w:hRule="atLeast"/>
        </w:trPr>
        <w:tc>
          <w:tcPr>
            <w:tcW w:w="2598" w:type="dxa"/>
            <w:gridSpan w:val="2"/>
            <w:vAlign w:val="center"/>
          </w:tcPr>
          <w:p>
            <w:pPr>
              <w:widowControl w:val="0"/>
              <w:spacing w:line="360" w:lineRule="exact"/>
              <w:jc w:val="center"/>
              <w:rPr>
                <w:rFonts w:ascii="宋体"/>
              </w:rPr>
            </w:pPr>
            <w:r>
              <w:rPr>
                <w:rFonts w:ascii="宋体" w:hAnsi="宋体"/>
              </w:rPr>
              <w:t>2.2.2</w:t>
            </w:r>
          </w:p>
        </w:tc>
        <w:tc>
          <w:tcPr>
            <w:tcW w:w="2188" w:type="dxa"/>
            <w:vAlign w:val="center"/>
          </w:tcPr>
          <w:p>
            <w:pPr>
              <w:widowControl w:val="0"/>
              <w:spacing w:line="360" w:lineRule="exact"/>
              <w:jc w:val="center"/>
              <w:rPr>
                <w:rFonts w:ascii="宋体"/>
              </w:rPr>
            </w:pPr>
            <w:r>
              <w:rPr>
                <w:rFonts w:hint="eastAsia" w:ascii="宋体" w:hAnsi="宋体"/>
              </w:rPr>
              <w:t>评标基准价计算方法</w:t>
            </w:r>
          </w:p>
        </w:tc>
        <w:tc>
          <w:tcPr>
            <w:tcW w:w="5103" w:type="dxa"/>
            <w:vAlign w:val="center"/>
          </w:tcPr>
          <w:p>
            <w:pPr>
              <w:widowControl w:val="0"/>
              <w:spacing w:line="340" w:lineRule="exact"/>
              <w:rPr>
                <w:rFonts w:ascii="宋体"/>
                <w:color w:val="000000"/>
              </w:rPr>
            </w:pPr>
            <w:r>
              <w:rPr>
                <w:rFonts w:hint="eastAsia" w:ascii="宋体" w:hAnsi="宋体"/>
              </w:rPr>
              <w:t>投标报价高于招标控制价作废标处理。投标报价在招标控制价</w:t>
            </w:r>
            <w:r>
              <w:rPr>
                <w:rFonts w:ascii="宋体" w:hAnsi="宋体"/>
              </w:rPr>
              <w:t>85%-100%</w:t>
            </w:r>
            <w:r>
              <w:rPr>
                <w:rFonts w:hint="eastAsia" w:ascii="宋体" w:hAnsi="宋体"/>
              </w:rPr>
              <w:t>之间的报价为有效报价；</w:t>
            </w:r>
          </w:p>
          <w:p>
            <w:pPr>
              <w:widowControl w:val="0"/>
              <w:spacing w:line="340" w:lineRule="exact"/>
              <w:rPr>
                <w:rFonts w:ascii="宋体"/>
              </w:rPr>
            </w:pPr>
            <w:r>
              <w:rPr>
                <w:rFonts w:hint="eastAsia" w:ascii="宋体" w:hAnsi="宋体"/>
                <w:color w:val="000000"/>
              </w:rPr>
              <w:t>基准价等于①</w:t>
            </w:r>
            <w:r>
              <w:rPr>
                <w:rFonts w:hint="eastAsia" w:ascii="宋体" w:hAnsi="宋体"/>
              </w:rPr>
              <w:t>所有投标有效报价数为</w:t>
            </w:r>
            <w:r>
              <w:rPr>
                <w:rFonts w:ascii="宋体" w:hAnsi="宋体"/>
                <w:color w:val="000000"/>
              </w:rPr>
              <w:t>5</w:t>
            </w:r>
            <w:r>
              <w:rPr>
                <w:rFonts w:hint="eastAsia" w:ascii="宋体" w:hAnsi="宋体"/>
                <w:color w:val="000000"/>
              </w:rPr>
              <w:t>家或</w:t>
            </w:r>
            <w:r>
              <w:rPr>
                <w:rFonts w:ascii="宋体" w:hAnsi="宋体"/>
                <w:color w:val="000000"/>
              </w:rPr>
              <w:t>5</w:t>
            </w:r>
            <w:r>
              <w:rPr>
                <w:rFonts w:hint="eastAsia" w:ascii="宋体" w:hAnsi="宋体"/>
                <w:color w:val="000000"/>
              </w:rPr>
              <w:t>家以上，去掉最高和最低投标报价后的算术平均值；②</w:t>
            </w:r>
            <w:r>
              <w:rPr>
                <w:rFonts w:hint="eastAsia" w:ascii="宋体" w:hAnsi="宋体"/>
              </w:rPr>
              <w:t>所有投标有效报价数</w:t>
            </w:r>
            <w:r>
              <w:rPr>
                <w:rFonts w:hint="eastAsia" w:ascii="宋体" w:hAnsi="宋体"/>
                <w:color w:val="000000"/>
              </w:rPr>
              <w:t>少于</w:t>
            </w:r>
            <w:r>
              <w:rPr>
                <w:rFonts w:ascii="宋体" w:hAnsi="宋体"/>
                <w:color w:val="000000"/>
              </w:rPr>
              <w:t>5</w:t>
            </w:r>
            <w:r>
              <w:rPr>
                <w:rFonts w:hint="eastAsia" w:ascii="宋体" w:hAnsi="宋体"/>
                <w:color w:val="000000"/>
              </w:rPr>
              <w:t>家则基准价等于各投标人投标报价的算术平均值。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8" w:hRule="atLeast"/>
        </w:trPr>
        <w:tc>
          <w:tcPr>
            <w:tcW w:w="2598" w:type="dxa"/>
            <w:gridSpan w:val="2"/>
            <w:vAlign w:val="center"/>
          </w:tcPr>
          <w:p>
            <w:pPr>
              <w:widowControl w:val="0"/>
              <w:spacing w:line="360" w:lineRule="exact"/>
              <w:jc w:val="center"/>
              <w:rPr>
                <w:rFonts w:ascii="宋体"/>
              </w:rPr>
            </w:pPr>
            <w:r>
              <w:rPr>
                <w:rFonts w:ascii="宋体" w:hAnsi="宋体"/>
              </w:rPr>
              <w:t>2.2.3</w:t>
            </w:r>
          </w:p>
        </w:tc>
        <w:tc>
          <w:tcPr>
            <w:tcW w:w="2188" w:type="dxa"/>
            <w:vAlign w:val="center"/>
          </w:tcPr>
          <w:p>
            <w:pPr>
              <w:spacing w:before="9" w:line="340" w:lineRule="exact"/>
              <w:ind w:right="329"/>
              <w:jc w:val="center"/>
              <w:rPr>
                <w:rFonts w:ascii="宋体" w:cs="宋体"/>
                <w:szCs w:val="21"/>
              </w:rPr>
            </w:pPr>
            <w:r>
              <w:rPr>
                <w:rFonts w:hint="eastAsia" w:ascii="宋体" w:hAnsi="宋体" w:cs="宋体"/>
                <w:szCs w:val="21"/>
              </w:rPr>
              <w:t>投标报价的偏差率计算公式</w:t>
            </w:r>
          </w:p>
        </w:tc>
        <w:tc>
          <w:tcPr>
            <w:tcW w:w="5103" w:type="dxa"/>
            <w:vAlign w:val="center"/>
          </w:tcPr>
          <w:p>
            <w:pPr>
              <w:autoSpaceDE w:val="0"/>
              <w:autoSpaceDN w:val="0"/>
              <w:adjustRightInd w:val="0"/>
              <w:spacing w:line="340" w:lineRule="exact"/>
              <w:rPr>
                <w:rFonts w:ascii="宋体" w:cs="宋体"/>
                <w:bCs/>
                <w:color w:val="000000"/>
                <w:szCs w:val="21"/>
                <w:lang w:val="zh-CN"/>
              </w:rPr>
            </w:pPr>
            <w:r>
              <w:rPr>
                <w:rFonts w:hint="eastAsia" w:ascii="宋体" w:hAnsi="宋体" w:cs="宋体"/>
                <w:bCs/>
                <w:color w:val="000000"/>
                <w:szCs w:val="21"/>
                <w:lang w:val="zh-CN"/>
              </w:rPr>
              <w:t>偏差率</w:t>
            </w:r>
            <w:r>
              <w:rPr>
                <w:rFonts w:ascii="宋体" w:hAnsi="宋体" w:cs="宋体"/>
                <w:bCs/>
                <w:color w:val="000000"/>
                <w:szCs w:val="21"/>
                <w:lang w:val="zh-CN"/>
              </w:rPr>
              <w:t>=100%</w:t>
            </w:r>
            <w:r>
              <w:rPr>
                <w:rFonts w:hint="eastAsia" w:ascii="宋体" w:hAnsi="宋体" w:cs="宋体"/>
                <w:bCs/>
                <w:color w:val="000000"/>
                <w:szCs w:val="21"/>
                <w:lang w:val="zh-CN"/>
              </w:rPr>
              <w:t>×</w:t>
            </w:r>
            <w:r>
              <w:rPr>
                <w:rFonts w:ascii="宋体" w:hAnsi="宋体" w:cs="宋体"/>
                <w:bCs/>
                <w:color w:val="000000"/>
                <w:szCs w:val="21"/>
                <w:lang w:val="zh-CN"/>
              </w:rPr>
              <w:t>|(</w:t>
            </w:r>
            <w:r>
              <w:rPr>
                <w:rFonts w:hint="eastAsia" w:ascii="宋体" w:hAnsi="宋体" w:cs="宋体"/>
                <w:bCs/>
                <w:color w:val="000000"/>
                <w:szCs w:val="21"/>
                <w:lang w:val="zh-CN"/>
              </w:rPr>
              <w:t>投标人报价一评标基准价</w:t>
            </w:r>
            <w:r>
              <w:rPr>
                <w:rFonts w:ascii="宋体" w:hAnsi="宋体" w:cs="宋体"/>
                <w:bCs/>
                <w:color w:val="000000"/>
                <w:szCs w:val="21"/>
                <w:lang w:val="zh-CN"/>
              </w:rPr>
              <w:t>)|/</w:t>
            </w:r>
            <w:r>
              <w:rPr>
                <w:rFonts w:hint="eastAsia" w:ascii="宋体" w:hAnsi="宋体" w:cs="宋体"/>
                <w:bCs/>
                <w:color w:val="000000"/>
                <w:szCs w:val="21"/>
                <w:lang w:val="zh-CN"/>
              </w:rPr>
              <w:t>评标基准价</w:t>
            </w:r>
            <w:r>
              <w:rPr>
                <w:rFonts w:hint="eastAsia" w:ascii="宋体" w:hAnsi="宋体"/>
                <w:bCs/>
                <w:color w:val="000000"/>
                <w:spacing w:val="-6"/>
                <w:szCs w:val="21"/>
              </w:rPr>
              <w:t>（小数点后保留两位，第三位四舍五入）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4" w:hRule="atLeast"/>
        </w:trPr>
        <w:tc>
          <w:tcPr>
            <w:tcW w:w="2598" w:type="dxa"/>
            <w:gridSpan w:val="2"/>
            <w:vAlign w:val="center"/>
          </w:tcPr>
          <w:p>
            <w:pPr>
              <w:widowControl w:val="0"/>
              <w:spacing w:line="360" w:lineRule="exact"/>
              <w:jc w:val="center"/>
              <w:rPr>
                <w:rFonts w:ascii="宋体"/>
              </w:rPr>
            </w:pPr>
            <w:r>
              <w:rPr>
                <w:rFonts w:hint="eastAsia" w:ascii="宋体" w:hAnsi="宋体"/>
              </w:rPr>
              <w:t>条款号</w:t>
            </w:r>
          </w:p>
        </w:tc>
        <w:tc>
          <w:tcPr>
            <w:tcW w:w="2188" w:type="dxa"/>
            <w:vAlign w:val="center"/>
          </w:tcPr>
          <w:p>
            <w:pPr>
              <w:widowControl w:val="0"/>
              <w:spacing w:line="360" w:lineRule="exact"/>
              <w:jc w:val="center"/>
              <w:rPr>
                <w:rFonts w:ascii="宋体"/>
              </w:rPr>
            </w:pPr>
            <w:r>
              <w:rPr>
                <w:rFonts w:hint="eastAsia" w:ascii="宋体" w:hAnsi="宋体"/>
              </w:rPr>
              <w:t>评分因素（偏差率）</w:t>
            </w:r>
          </w:p>
        </w:tc>
        <w:tc>
          <w:tcPr>
            <w:tcW w:w="5103" w:type="dxa"/>
            <w:vAlign w:val="center"/>
          </w:tcPr>
          <w:p>
            <w:pPr>
              <w:widowControl w:val="0"/>
              <w:spacing w:line="340" w:lineRule="exact"/>
              <w:jc w:val="center"/>
              <w:rPr>
                <w:rFonts w:ascii="宋体"/>
              </w:rPr>
            </w:pPr>
            <w:r>
              <w:rPr>
                <w:rFonts w:hint="eastAsia" w:ascii="宋体" w:hAnsi="宋体"/>
              </w:rPr>
              <w:t>评分标准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158" w:type="dxa"/>
            <w:vMerge w:val="restart"/>
            <w:vAlign w:val="center"/>
          </w:tcPr>
          <w:p>
            <w:pPr>
              <w:widowControl w:val="0"/>
              <w:spacing w:line="360" w:lineRule="exact"/>
              <w:jc w:val="center"/>
              <w:rPr>
                <w:rFonts w:ascii="宋体"/>
              </w:rPr>
            </w:pPr>
            <w:r>
              <w:rPr>
                <w:rFonts w:ascii="宋体" w:hAnsi="宋体"/>
              </w:rPr>
              <w:t>2.2.4</w:t>
            </w:r>
          </w:p>
          <w:p>
            <w:pPr>
              <w:widowControl w:val="0"/>
              <w:spacing w:line="360" w:lineRule="exact"/>
              <w:jc w:val="center"/>
              <w:rPr>
                <w:rFonts w:ascii="宋体"/>
              </w:rPr>
            </w:pPr>
            <w:r>
              <w:rPr>
                <w:rFonts w:hint="eastAsia" w:ascii="宋体" w:hAnsi="宋体"/>
              </w:rPr>
              <w:t>（</w:t>
            </w:r>
            <w:r>
              <w:rPr>
                <w:rFonts w:ascii="宋体" w:hAnsi="宋体"/>
              </w:rPr>
              <w:t>1</w:t>
            </w:r>
            <w:r>
              <w:rPr>
                <w:rFonts w:hint="eastAsia" w:ascii="宋体" w:hAnsi="宋体"/>
              </w:rPr>
              <w:t>）</w:t>
            </w:r>
          </w:p>
        </w:tc>
        <w:tc>
          <w:tcPr>
            <w:tcW w:w="1440" w:type="dxa"/>
            <w:vMerge w:val="restart"/>
            <w:vAlign w:val="center"/>
          </w:tcPr>
          <w:p>
            <w:pPr>
              <w:widowControl w:val="0"/>
              <w:spacing w:line="360" w:lineRule="exact"/>
              <w:jc w:val="center"/>
              <w:rPr>
                <w:rFonts w:ascii="宋体"/>
              </w:rPr>
            </w:pPr>
            <w:r>
              <w:rPr>
                <w:rFonts w:hint="eastAsia" w:ascii="宋体" w:hAnsi="宋体"/>
              </w:rPr>
              <w:t>商务评分标准（</w:t>
            </w:r>
            <w:r>
              <w:rPr>
                <w:rFonts w:ascii="宋体" w:hAnsi="宋体"/>
              </w:rPr>
              <w:t>1</w:t>
            </w:r>
            <w:r>
              <w:rPr>
                <w:rFonts w:ascii="宋体"/>
              </w:rPr>
              <w:t>0</w:t>
            </w:r>
            <w:r>
              <w:rPr>
                <w:rFonts w:hint="eastAsia" w:ascii="宋体" w:hAnsi="宋体"/>
              </w:rPr>
              <w:t>分）</w:t>
            </w:r>
          </w:p>
        </w:tc>
        <w:tc>
          <w:tcPr>
            <w:tcW w:w="2188" w:type="dxa"/>
            <w:vAlign w:val="center"/>
          </w:tcPr>
          <w:p>
            <w:pPr>
              <w:widowControl w:val="0"/>
              <w:spacing w:line="360" w:lineRule="exact"/>
              <w:jc w:val="center"/>
              <w:rPr>
                <w:rFonts w:ascii="宋体"/>
              </w:rPr>
            </w:pPr>
            <w:r>
              <w:rPr>
                <w:rFonts w:hint="eastAsia" w:ascii="宋体" w:hAnsi="宋体"/>
              </w:rPr>
              <w:t>对招标文件商务条款的响应程度（</w:t>
            </w:r>
            <w:r>
              <w:rPr>
                <w:rFonts w:ascii="宋体" w:hAnsi="宋体"/>
              </w:rPr>
              <w:t>2</w:t>
            </w:r>
            <w:r>
              <w:rPr>
                <w:rFonts w:hint="eastAsia" w:ascii="宋体" w:hAnsi="宋体"/>
              </w:rPr>
              <w:t>分）</w:t>
            </w:r>
          </w:p>
        </w:tc>
        <w:tc>
          <w:tcPr>
            <w:tcW w:w="5103" w:type="dxa"/>
            <w:vAlign w:val="center"/>
          </w:tcPr>
          <w:p>
            <w:pPr>
              <w:widowControl w:val="0"/>
              <w:spacing w:line="320" w:lineRule="exact"/>
              <w:rPr>
                <w:rFonts w:ascii="宋体"/>
              </w:rPr>
            </w:pPr>
            <w:r>
              <w:rPr>
                <w:rFonts w:hint="eastAsia" w:ascii="宋体" w:hAnsi="宋体"/>
              </w:rPr>
              <w:t>投标文件组成齐全，内容按要求填写得</w:t>
            </w:r>
            <w:r>
              <w:rPr>
                <w:rFonts w:ascii="宋体" w:hAnsi="宋体"/>
              </w:rPr>
              <w:t>2</w:t>
            </w:r>
            <w:r>
              <w:rPr>
                <w:rFonts w:hint="eastAsia" w:ascii="宋体" w:hAnsi="宋体"/>
              </w:rPr>
              <w:t>分，不完全响应每一处扣</w:t>
            </w:r>
            <w:r>
              <w:rPr>
                <w:rFonts w:ascii="宋体" w:hAnsi="宋体"/>
              </w:rPr>
              <w:t>0.5</w:t>
            </w:r>
            <w:r>
              <w:rPr>
                <w:rFonts w:hint="eastAsia" w:ascii="宋体" w:hAnsi="宋体"/>
              </w:rPr>
              <w:t>分，最多扣</w:t>
            </w:r>
            <w:r>
              <w:rPr>
                <w:rFonts w:ascii="宋体" w:hAnsi="宋体"/>
              </w:rPr>
              <w:t>2</w:t>
            </w:r>
            <w:r>
              <w:rPr>
                <w:rFonts w:hint="eastAsia" w:ascii="宋体" w:hAnsi="宋体"/>
              </w:rPr>
              <w:t>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158" w:type="dxa"/>
            <w:vMerge w:val="continue"/>
            <w:vAlign w:val="center"/>
          </w:tcPr>
          <w:p>
            <w:pPr>
              <w:widowControl w:val="0"/>
              <w:spacing w:line="360" w:lineRule="exact"/>
              <w:jc w:val="center"/>
              <w:rPr>
                <w:rFonts w:ascii="宋体"/>
              </w:rPr>
            </w:pPr>
          </w:p>
        </w:tc>
        <w:tc>
          <w:tcPr>
            <w:tcW w:w="1440" w:type="dxa"/>
            <w:vMerge w:val="continue"/>
            <w:vAlign w:val="center"/>
          </w:tcPr>
          <w:p>
            <w:pPr>
              <w:widowControl w:val="0"/>
              <w:spacing w:line="360" w:lineRule="exact"/>
              <w:jc w:val="center"/>
              <w:rPr>
                <w:rFonts w:ascii="宋体"/>
              </w:rPr>
            </w:pPr>
          </w:p>
        </w:tc>
        <w:tc>
          <w:tcPr>
            <w:tcW w:w="2188" w:type="dxa"/>
            <w:vAlign w:val="center"/>
          </w:tcPr>
          <w:p>
            <w:pPr>
              <w:widowControl w:val="0"/>
              <w:spacing w:line="360" w:lineRule="exact"/>
              <w:jc w:val="center"/>
              <w:rPr>
                <w:rFonts w:ascii="宋体"/>
              </w:rPr>
            </w:pPr>
            <w:r>
              <w:rPr>
                <w:rFonts w:hint="eastAsia" w:ascii="宋体" w:hAnsi="宋体"/>
              </w:rPr>
              <w:t>类似项目业绩</w:t>
            </w:r>
          </w:p>
          <w:p>
            <w:pPr>
              <w:widowControl w:val="0"/>
              <w:spacing w:line="360" w:lineRule="exact"/>
              <w:jc w:val="center"/>
              <w:rPr>
                <w:rFonts w:ascii="宋体"/>
              </w:rPr>
            </w:pPr>
            <w:r>
              <w:rPr>
                <w:rFonts w:hint="eastAsia" w:ascii="宋体" w:hAnsi="宋体"/>
              </w:rPr>
              <w:t>（</w:t>
            </w:r>
            <w:r>
              <w:rPr>
                <w:rFonts w:ascii="宋体" w:hAnsi="宋体"/>
              </w:rPr>
              <w:t>4</w:t>
            </w:r>
            <w:r>
              <w:rPr>
                <w:rFonts w:hint="eastAsia" w:ascii="宋体" w:hAnsi="宋体"/>
              </w:rPr>
              <w:t>分）</w:t>
            </w:r>
          </w:p>
        </w:tc>
        <w:tc>
          <w:tcPr>
            <w:tcW w:w="5103" w:type="dxa"/>
            <w:vAlign w:val="center"/>
          </w:tcPr>
          <w:p>
            <w:pPr>
              <w:widowControl w:val="0"/>
              <w:spacing w:line="340" w:lineRule="exact"/>
              <w:rPr>
                <w:rFonts w:ascii="宋体"/>
              </w:rPr>
            </w:pPr>
            <w:r>
              <w:rPr>
                <w:rFonts w:hint="eastAsia" w:ascii="宋体" w:hAnsi="宋体"/>
              </w:rPr>
              <w:t>投标人在过去</w:t>
            </w:r>
            <w:r>
              <w:rPr>
                <w:rFonts w:ascii="宋体" w:hAnsi="宋体"/>
              </w:rPr>
              <w:t>3</w:t>
            </w:r>
            <w:r>
              <w:rPr>
                <w:rFonts w:hint="eastAsia" w:ascii="宋体" w:hAnsi="宋体"/>
              </w:rPr>
              <w:t>年（</w:t>
            </w:r>
            <w:r>
              <w:rPr>
                <w:rFonts w:ascii="宋体" w:hAnsi="宋体"/>
              </w:rPr>
              <w:t>201</w:t>
            </w:r>
            <w:r>
              <w:rPr>
                <w:rFonts w:hint="eastAsia" w:ascii="宋体" w:hAnsi="宋体"/>
              </w:rPr>
              <w:t>6、</w:t>
            </w:r>
            <w:r>
              <w:rPr>
                <w:rFonts w:ascii="宋体" w:hAnsi="宋体"/>
              </w:rPr>
              <w:t>201</w:t>
            </w:r>
            <w:r>
              <w:rPr>
                <w:rFonts w:hint="eastAsia" w:ascii="宋体" w:hAnsi="宋体"/>
              </w:rPr>
              <w:t>7、</w:t>
            </w:r>
            <w:r>
              <w:rPr>
                <w:rFonts w:ascii="宋体" w:hAnsi="宋体"/>
              </w:rPr>
              <w:t>201</w:t>
            </w:r>
            <w:r>
              <w:rPr>
                <w:rFonts w:hint="eastAsia" w:ascii="宋体" w:hAnsi="宋体"/>
              </w:rPr>
              <w:t>8年）中成功地制造或经销过与所投标产品类似的设备，并提供中标通知书或合同协议书原件，</w:t>
            </w:r>
            <w:r>
              <w:rPr>
                <w:rFonts w:hint="eastAsia" w:ascii="宋体" w:hAnsi="宋体"/>
                <w:b/>
              </w:rPr>
              <w:t>设备进场验收证明</w:t>
            </w:r>
            <w:r>
              <w:rPr>
                <w:rFonts w:hint="eastAsia" w:ascii="宋体" w:hAnsi="宋体"/>
              </w:rPr>
              <w:t>原件及标书内附复印件，每提供完整的一项业绩证明得</w:t>
            </w:r>
            <w:r>
              <w:rPr>
                <w:rFonts w:ascii="宋体" w:hAnsi="宋体"/>
              </w:rPr>
              <w:t>2</w:t>
            </w:r>
            <w:r>
              <w:rPr>
                <w:rFonts w:hint="eastAsia" w:ascii="宋体" w:hAnsi="宋体"/>
              </w:rPr>
              <w:t>分，最多得</w:t>
            </w:r>
            <w:r>
              <w:rPr>
                <w:rFonts w:ascii="宋体" w:hAnsi="宋体"/>
              </w:rPr>
              <w:t>4</w:t>
            </w:r>
            <w:r>
              <w:rPr>
                <w:rFonts w:hint="eastAsia" w:ascii="宋体" w:hAnsi="宋体"/>
              </w:rPr>
              <w:t>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158" w:type="dxa"/>
            <w:vMerge w:val="continue"/>
            <w:vAlign w:val="center"/>
          </w:tcPr>
          <w:p>
            <w:pPr>
              <w:widowControl w:val="0"/>
              <w:spacing w:line="360" w:lineRule="exact"/>
              <w:jc w:val="center"/>
              <w:rPr>
                <w:rFonts w:ascii="宋体"/>
              </w:rPr>
            </w:pPr>
          </w:p>
        </w:tc>
        <w:tc>
          <w:tcPr>
            <w:tcW w:w="1440" w:type="dxa"/>
            <w:vMerge w:val="continue"/>
            <w:vAlign w:val="center"/>
          </w:tcPr>
          <w:p>
            <w:pPr>
              <w:widowControl w:val="0"/>
              <w:spacing w:line="360" w:lineRule="exact"/>
              <w:jc w:val="center"/>
              <w:rPr>
                <w:rFonts w:ascii="宋体"/>
              </w:rPr>
            </w:pPr>
          </w:p>
        </w:tc>
        <w:tc>
          <w:tcPr>
            <w:tcW w:w="2188" w:type="dxa"/>
            <w:vAlign w:val="center"/>
          </w:tcPr>
          <w:p>
            <w:pPr>
              <w:spacing w:line="300" w:lineRule="exact"/>
              <w:jc w:val="center"/>
              <w:rPr>
                <w:rFonts w:ascii="宋体" w:cs="宋体"/>
                <w:kern w:val="0"/>
                <w:szCs w:val="21"/>
              </w:rPr>
            </w:pPr>
            <w:r>
              <w:rPr>
                <w:rFonts w:hint="eastAsia" w:ascii="宋体" w:hAnsi="宋体" w:cs="宋体"/>
                <w:kern w:val="0"/>
                <w:szCs w:val="21"/>
              </w:rPr>
              <w:t>投标人财务状况、信誉（</w:t>
            </w:r>
            <w:r>
              <w:rPr>
                <w:rFonts w:ascii="宋体" w:hAnsi="宋体" w:cs="宋体"/>
                <w:kern w:val="0"/>
                <w:szCs w:val="21"/>
              </w:rPr>
              <w:t>2</w:t>
            </w:r>
            <w:r>
              <w:rPr>
                <w:rFonts w:hint="eastAsia" w:ascii="宋体" w:hAnsi="宋体" w:cs="宋体"/>
                <w:kern w:val="0"/>
                <w:szCs w:val="21"/>
              </w:rPr>
              <w:t>分）</w:t>
            </w:r>
          </w:p>
        </w:tc>
        <w:tc>
          <w:tcPr>
            <w:tcW w:w="5103" w:type="dxa"/>
          </w:tcPr>
          <w:p>
            <w:pPr>
              <w:spacing w:line="320" w:lineRule="exact"/>
              <w:rPr>
                <w:rFonts w:ascii="宋体" w:cs="宋体"/>
                <w:kern w:val="0"/>
                <w:szCs w:val="21"/>
              </w:rPr>
            </w:pPr>
            <w:r>
              <w:rPr>
                <w:rFonts w:hint="eastAsia" w:ascii="宋体" w:hAnsi="宋体" w:cs="宋体"/>
                <w:kern w:val="0"/>
                <w:szCs w:val="21"/>
              </w:rPr>
              <w:t>提供了反映财务状况的资料，财务状况良好，得</w:t>
            </w:r>
            <w:r>
              <w:rPr>
                <w:rFonts w:ascii="宋体" w:hAnsi="宋体" w:cs="宋体"/>
                <w:kern w:val="0"/>
                <w:szCs w:val="21"/>
              </w:rPr>
              <w:t>2</w:t>
            </w:r>
            <w:r>
              <w:rPr>
                <w:rFonts w:hint="eastAsia" w:ascii="宋体" w:hAnsi="宋体" w:cs="宋体"/>
                <w:kern w:val="0"/>
                <w:szCs w:val="21"/>
              </w:rPr>
              <w:t>分，资料不全或财务状况一般得</w:t>
            </w:r>
            <w:r>
              <w:rPr>
                <w:rFonts w:ascii="宋体" w:hAnsi="宋体" w:cs="宋体"/>
                <w:kern w:val="0"/>
                <w:szCs w:val="21"/>
              </w:rPr>
              <w:t>1</w:t>
            </w:r>
            <w:r>
              <w:rPr>
                <w:rFonts w:hint="eastAsia" w:ascii="宋体" w:hAnsi="宋体" w:cs="宋体"/>
                <w:kern w:val="0"/>
                <w:szCs w:val="21"/>
              </w:rPr>
              <w:t>分，财务资料数据有矛盾或财务状况较差得</w:t>
            </w:r>
            <w:r>
              <w:rPr>
                <w:rFonts w:ascii="宋体" w:hAnsi="宋体" w:cs="宋体"/>
                <w:kern w:val="0"/>
                <w:szCs w:val="21"/>
              </w:rPr>
              <w:t>O</w:t>
            </w:r>
            <w:r>
              <w:rPr>
                <w:rFonts w:hint="eastAsia" w:ascii="宋体" w:hAnsi="宋体" w:cs="宋体"/>
                <w:kern w:val="0"/>
                <w:szCs w:val="21"/>
              </w:rPr>
              <w:t>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158" w:type="dxa"/>
            <w:vMerge w:val="continue"/>
            <w:vAlign w:val="center"/>
          </w:tcPr>
          <w:p>
            <w:pPr>
              <w:widowControl w:val="0"/>
              <w:spacing w:line="360" w:lineRule="exact"/>
              <w:jc w:val="center"/>
              <w:rPr>
                <w:rFonts w:ascii="宋体"/>
              </w:rPr>
            </w:pPr>
          </w:p>
        </w:tc>
        <w:tc>
          <w:tcPr>
            <w:tcW w:w="1440" w:type="dxa"/>
            <w:vMerge w:val="continue"/>
            <w:vAlign w:val="center"/>
          </w:tcPr>
          <w:p>
            <w:pPr>
              <w:widowControl w:val="0"/>
              <w:spacing w:line="360" w:lineRule="exact"/>
              <w:jc w:val="center"/>
              <w:rPr>
                <w:rFonts w:ascii="宋体"/>
              </w:rPr>
            </w:pPr>
          </w:p>
        </w:tc>
        <w:tc>
          <w:tcPr>
            <w:tcW w:w="2188" w:type="dxa"/>
            <w:vAlign w:val="center"/>
          </w:tcPr>
          <w:p>
            <w:pPr>
              <w:widowControl w:val="0"/>
              <w:spacing w:line="320" w:lineRule="exact"/>
              <w:jc w:val="center"/>
              <w:rPr>
                <w:rFonts w:ascii="宋体"/>
              </w:rPr>
            </w:pPr>
            <w:r>
              <w:rPr>
                <w:rFonts w:hint="eastAsia" w:ascii="宋体" w:hAnsi="宋体"/>
              </w:rPr>
              <w:t>报价构成合理性</w:t>
            </w:r>
          </w:p>
          <w:p>
            <w:pPr>
              <w:widowControl w:val="0"/>
              <w:spacing w:line="320" w:lineRule="exact"/>
              <w:jc w:val="center"/>
              <w:rPr>
                <w:rFonts w:ascii="宋体"/>
              </w:rPr>
            </w:pPr>
            <w:r>
              <w:rPr>
                <w:rFonts w:hint="eastAsia" w:ascii="宋体" w:hAnsi="宋体"/>
              </w:rPr>
              <w:t>（</w:t>
            </w:r>
            <w:r>
              <w:rPr>
                <w:rFonts w:ascii="宋体" w:hAnsi="宋体"/>
              </w:rPr>
              <w:t>2</w:t>
            </w:r>
            <w:r>
              <w:rPr>
                <w:rFonts w:hint="eastAsia" w:ascii="宋体" w:hAnsi="宋体"/>
              </w:rPr>
              <w:t>分）</w:t>
            </w:r>
          </w:p>
        </w:tc>
        <w:tc>
          <w:tcPr>
            <w:tcW w:w="5103" w:type="dxa"/>
            <w:vAlign w:val="center"/>
          </w:tcPr>
          <w:p>
            <w:pPr>
              <w:widowControl w:val="0"/>
              <w:spacing w:line="340" w:lineRule="exact"/>
              <w:rPr>
                <w:rFonts w:ascii="宋体"/>
              </w:rPr>
            </w:pPr>
            <w:r>
              <w:rPr>
                <w:rFonts w:hint="eastAsia" w:ascii="宋体" w:hAnsi="宋体"/>
              </w:rPr>
              <w:t>投标报价合理</w:t>
            </w:r>
            <w:r>
              <w:rPr>
                <w:rFonts w:ascii="宋体" w:hAnsi="宋体"/>
              </w:rPr>
              <w:t>2</w:t>
            </w:r>
            <w:r>
              <w:rPr>
                <w:rFonts w:hint="eastAsia" w:ascii="宋体" w:hAnsi="宋体"/>
              </w:rPr>
              <w:t>分，基本合理</w:t>
            </w:r>
            <w:r>
              <w:rPr>
                <w:rFonts w:ascii="宋体" w:hAnsi="宋体"/>
              </w:rPr>
              <w:t>1</w:t>
            </w:r>
            <w:r>
              <w:rPr>
                <w:rFonts w:hint="eastAsia" w:ascii="宋体" w:hAnsi="宋体"/>
              </w:rPr>
              <w:t>分，不合理不得分。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67" w:hRule="exact"/>
        </w:trPr>
        <w:tc>
          <w:tcPr>
            <w:tcW w:w="1158" w:type="dxa"/>
            <w:vMerge w:val="restart"/>
            <w:vAlign w:val="center"/>
          </w:tcPr>
          <w:p>
            <w:pPr>
              <w:widowControl w:val="0"/>
              <w:spacing w:line="360" w:lineRule="exact"/>
              <w:jc w:val="center"/>
              <w:rPr>
                <w:rFonts w:ascii="宋体"/>
              </w:rPr>
            </w:pPr>
            <w:r>
              <w:rPr>
                <w:rFonts w:ascii="宋体" w:hAnsi="宋体"/>
              </w:rPr>
              <w:t>2.2.4</w:t>
            </w:r>
            <w:r>
              <w:rPr>
                <w:rFonts w:hint="eastAsia" w:ascii="宋体" w:hAnsi="宋体"/>
              </w:rPr>
              <w:t>（</w:t>
            </w:r>
            <w:r>
              <w:rPr>
                <w:rFonts w:ascii="宋体" w:hAnsi="宋体"/>
              </w:rPr>
              <w:t>2</w:t>
            </w:r>
            <w:r>
              <w:rPr>
                <w:rFonts w:hint="eastAsia" w:ascii="宋体" w:hAnsi="宋体"/>
              </w:rPr>
              <w:t>）</w:t>
            </w:r>
          </w:p>
        </w:tc>
        <w:tc>
          <w:tcPr>
            <w:tcW w:w="1440" w:type="dxa"/>
            <w:vMerge w:val="restart"/>
            <w:vAlign w:val="center"/>
          </w:tcPr>
          <w:p>
            <w:pPr>
              <w:widowControl w:val="0"/>
              <w:spacing w:line="360" w:lineRule="exact"/>
              <w:jc w:val="center"/>
              <w:rPr>
                <w:rFonts w:ascii="宋体"/>
              </w:rPr>
            </w:pPr>
            <w:r>
              <w:rPr>
                <w:rFonts w:hint="eastAsia" w:ascii="宋体" w:hAnsi="宋体"/>
              </w:rPr>
              <w:t>技术评分标准（</w:t>
            </w:r>
            <w:r>
              <w:rPr>
                <w:rFonts w:ascii="宋体" w:hAnsi="宋体"/>
              </w:rPr>
              <w:t>36</w:t>
            </w:r>
            <w:r>
              <w:rPr>
                <w:rFonts w:hint="eastAsia" w:ascii="宋体" w:hAnsi="宋体"/>
              </w:rPr>
              <w:t>分）</w:t>
            </w:r>
          </w:p>
        </w:tc>
        <w:tc>
          <w:tcPr>
            <w:tcW w:w="2188" w:type="dxa"/>
            <w:vAlign w:val="center"/>
          </w:tcPr>
          <w:p>
            <w:pPr>
              <w:spacing w:line="300" w:lineRule="exact"/>
              <w:jc w:val="center"/>
              <w:rPr>
                <w:rFonts w:ascii="宋体" w:cs="宋体"/>
                <w:color w:val="000000"/>
                <w:kern w:val="0"/>
                <w:szCs w:val="21"/>
              </w:rPr>
            </w:pPr>
            <w:r>
              <w:rPr>
                <w:rFonts w:hint="eastAsia" w:ascii="宋体" w:cs="宋体"/>
                <w:color w:val="000000"/>
                <w:kern w:val="0"/>
                <w:szCs w:val="21"/>
              </w:rPr>
              <w:t>设备的性能、质量保证（</w:t>
            </w:r>
            <w:r>
              <w:rPr>
                <w:rFonts w:ascii="宋体" w:cs="宋体"/>
                <w:color w:val="000000"/>
                <w:kern w:val="0"/>
                <w:szCs w:val="21"/>
              </w:rPr>
              <w:t>6</w:t>
            </w:r>
            <w:r>
              <w:rPr>
                <w:rFonts w:hint="eastAsia" w:ascii="宋体" w:cs="宋体"/>
                <w:color w:val="000000"/>
                <w:kern w:val="0"/>
                <w:szCs w:val="21"/>
              </w:rPr>
              <w:t>分）</w:t>
            </w:r>
          </w:p>
        </w:tc>
        <w:tc>
          <w:tcPr>
            <w:tcW w:w="5103" w:type="dxa"/>
            <w:vAlign w:val="center"/>
          </w:tcPr>
          <w:p>
            <w:pPr>
              <w:spacing w:line="340" w:lineRule="exact"/>
              <w:rPr>
                <w:rFonts w:ascii="宋体" w:cs="宋体"/>
                <w:kern w:val="0"/>
                <w:szCs w:val="21"/>
              </w:rPr>
            </w:pPr>
            <w:r>
              <w:rPr>
                <w:rFonts w:hint="eastAsia" w:ascii="宋体" w:cs="宋体"/>
                <w:kern w:val="0"/>
                <w:szCs w:val="21"/>
              </w:rPr>
              <w:t>性能、质量满足招标文件要求得4分，优于招标文件要求的酌情加</w:t>
            </w:r>
            <w:r>
              <w:rPr>
                <w:rFonts w:ascii="宋体" w:cs="宋体"/>
                <w:kern w:val="0"/>
                <w:szCs w:val="21"/>
              </w:rPr>
              <w:t>1</w:t>
            </w:r>
            <w:r>
              <w:rPr>
                <w:rFonts w:hint="eastAsia" w:ascii="宋体" w:cs="宋体"/>
                <w:kern w:val="0"/>
                <w:szCs w:val="21"/>
              </w:rPr>
              <w:t>～</w:t>
            </w:r>
            <w:r>
              <w:rPr>
                <w:rFonts w:ascii="宋体" w:cs="宋体"/>
                <w:kern w:val="0"/>
                <w:szCs w:val="21"/>
              </w:rPr>
              <w:t>2</w:t>
            </w:r>
            <w:r>
              <w:rPr>
                <w:rFonts w:hint="eastAsia" w:ascii="宋体" w:cs="宋体"/>
                <w:kern w:val="0"/>
                <w:szCs w:val="21"/>
              </w:rPr>
              <w:t>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7" w:hRule="atLeast"/>
        </w:trPr>
        <w:tc>
          <w:tcPr>
            <w:tcW w:w="1158" w:type="dxa"/>
            <w:vMerge w:val="continue"/>
            <w:vAlign w:val="center"/>
          </w:tcPr>
          <w:p>
            <w:pPr>
              <w:widowControl w:val="0"/>
              <w:spacing w:line="360" w:lineRule="exact"/>
              <w:jc w:val="center"/>
              <w:rPr>
                <w:rFonts w:ascii="宋体"/>
              </w:rPr>
            </w:pPr>
          </w:p>
        </w:tc>
        <w:tc>
          <w:tcPr>
            <w:tcW w:w="1440" w:type="dxa"/>
            <w:vMerge w:val="continue"/>
            <w:vAlign w:val="center"/>
          </w:tcPr>
          <w:p>
            <w:pPr>
              <w:widowControl w:val="0"/>
              <w:spacing w:line="360" w:lineRule="exact"/>
              <w:jc w:val="center"/>
              <w:rPr>
                <w:rFonts w:ascii="宋体"/>
              </w:rPr>
            </w:pPr>
          </w:p>
        </w:tc>
        <w:tc>
          <w:tcPr>
            <w:tcW w:w="2188" w:type="dxa"/>
            <w:vAlign w:val="center"/>
          </w:tcPr>
          <w:p>
            <w:pPr>
              <w:spacing w:line="300" w:lineRule="exact"/>
              <w:jc w:val="center"/>
              <w:rPr>
                <w:rFonts w:ascii="宋体" w:cs="宋体"/>
                <w:color w:val="000000"/>
                <w:kern w:val="0"/>
                <w:szCs w:val="21"/>
              </w:rPr>
            </w:pPr>
            <w:r>
              <w:rPr>
                <w:rFonts w:hint="eastAsia" w:ascii="宋体" w:cs="宋体"/>
                <w:color w:val="000000"/>
                <w:kern w:val="0"/>
                <w:szCs w:val="21"/>
              </w:rPr>
              <w:t>技术参数、技术经济指标（</w:t>
            </w:r>
            <w:r>
              <w:rPr>
                <w:rFonts w:ascii="宋体" w:cs="宋体"/>
                <w:color w:val="000000"/>
                <w:kern w:val="0"/>
                <w:szCs w:val="21"/>
              </w:rPr>
              <w:t>6</w:t>
            </w:r>
            <w:r>
              <w:rPr>
                <w:rFonts w:hint="eastAsia" w:ascii="宋体" w:cs="宋体"/>
                <w:color w:val="000000"/>
                <w:kern w:val="0"/>
                <w:szCs w:val="21"/>
              </w:rPr>
              <w:t>分）</w:t>
            </w:r>
          </w:p>
        </w:tc>
        <w:tc>
          <w:tcPr>
            <w:tcW w:w="5103" w:type="dxa"/>
            <w:vAlign w:val="center"/>
          </w:tcPr>
          <w:p>
            <w:pPr>
              <w:spacing w:line="340" w:lineRule="exact"/>
              <w:rPr>
                <w:rFonts w:ascii="宋体" w:cs="宋体"/>
                <w:kern w:val="0"/>
                <w:szCs w:val="21"/>
              </w:rPr>
            </w:pPr>
            <w:r>
              <w:rPr>
                <w:rFonts w:hint="eastAsia" w:ascii="宋体" w:cs="宋体"/>
                <w:kern w:val="0"/>
                <w:szCs w:val="21"/>
              </w:rPr>
              <w:t>各项主要技术经济指标均满足招标文件要求得</w:t>
            </w:r>
            <w:r>
              <w:rPr>
                <w:rFonts w:ascii="宋体" w:cs="宋体"/>
                <w:kern w:val="0"/>
                <w:szCs w:val="21"/>
              </w:rPr>
              <w:t>6</w:t>
            </w:r>
            <w:r>
              <w:rPr>
                <w:rFonts w:hint="eastAsia" w:ascii="宋体" w:cs="宋体"/>
                <w:kern w:val="0"/>
                <w:szCs w:val="21"/>
              </w:rPr>
              <w:t>分，有一项低于招标文件要求的扣</w:t>
            </w:r>
            <w:r>
              <w:rPr>
                <w:rFonts w:ascii="宋体" w:cs="宋体"/>
                <w:kern w:val="0"/>
                <w:szCs w:val="21"/>
              </w:rPr>
              <w:t>0.5</w:t>
            </w:r>
            <w:r>
              <w:rPr>
                <w:rFonts w:hint="eastAsia" w:ascii="宋体" w:cs="宋体"/>
                <w:kern w:val="0"/>
                <w:szCs w:val="21"/>
              </w:rPr>
              <w:t>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6" w:hRule="atLeast"/>
        </w:trPr>
        <w:tc>
          <w:tcPr>
            <w:tcW w:w="1158" w:type="dxa"/>
            <w:vMerge w:val="continue"/>
            <w:vAlign w:val="center"/>
          </w:tcPr>
          <w:p>
            <w:pPr>
              <w:widowControl w:val="0"/>
              <w:spacing w:line="360" w:lineRule="exact"/>
              <w:jc w:val="center"/>
              <w:rPr>
                <w:rFonts w:ascii="宋体"/>
              </w:rPr>
            </w:pPr>
          </w:p>
        </w:tc>
        <w:tc>
          <w:tcPr>
            <w:tcW w:w="1440" w:type="dxa"/>
            <w:vMerge w:val="continue"/>
            <w:vAlign w:val="center"/>
          </w:tcPr>
          <w:p>
            <w:pPr>
              <w:widowControl w:val="0"/>
              <w:spacing w:line="360" w:lineRule="exact"/>
              <w:jc w:val="center"/>
              <w:rPr>
                <w:rFonts w:ascii="宋体"/>
              </w:rPr>
            </w:pPr>
          </w:p>
        </w:tc>
        <w:tc>
          <w:tcPr>
            <w:tcW w:w="2188" w:type="dxa"/>
            <w:vMerge w:val="restart"/>
            <w:vAlign w:val="center"/>
          </w:tcPr>
          <w:p>
            <w:pPr>
              <w:widowControl w:val="0"/>
              <w:spacing w:line="360" w:lineRule="exact"/>
              <w:jc w:val="center"/>
              <w:rPr>
                <w:rFonts w:ascii="宋体"/>
              </w:rPr>
            </w:pPr>
            <w:r>
              <w:rPr>
                <w:rFonts w:hint="eastAsia" w:ascii="宋体" w:hAnsi="宋体"/>
              </w:rPr>
              <w:t>生产计划和工艺方案（</w:t>
            </w:r>
            <w:r>
              <w:rPr>
                <w:rFonts w:ascii="宋体" w:hAnsi="宋体"/>
              </w:rPr>
              <w:t>8</w:t>
            </w:r>
            <w:r>
              <w:rPr>
                <w:rFonts w:hint="eastAsia" w:ascii="宋体" w:hAnsi="宋体"/>
              </w:rPr>
              <w:t>分）</w:t>
            </w:r>
          </w:p>
        </w:tc>
        <w:tc>
          <w:tcPr>
            <w:tcW w:w="5103" w:type="dxa"/>
            <w:vAlign w:val="center"/>
          </w:tcPr>
          <w:p>
            <w:pPr>
              <w:autoSpaceDE w:val="0"/>
              <w:autoSpaceDN w:val="0"/>
              <w:spacing w:line="340" w:lineRule="exact"/>
              <w:rPr>
                <w:rFonts w:ascii="宋体" w:cs="宋体"/>
                <w:kern w:val="0"/>
                <w:szCs w:val="21"/>
              </w:rPr>
            </w:pPr>
            <w:r>
              <w:rPr>
                <w:rFonts w:hint="eastAsia" w:ascii="宋体" w:cs="宋体"/>
                <w:kern w:val="0"/>
                <w:szCs w:val="21"/>
              </w:rPr>
              <w:t>生产计划阐述清晰、安排合理得</w:t>
            </w:r>
            <w:r>
              <w:rPr>
                <w:rFonts w:ascii="宋体" w:cs="宋体"/>
                <w:kern w:val="0"/>
                <w:szCs w:val="21"/>
              </w:rPr>
              <w:t>4</w:t>
            </w:r>
            <w:r>
              <w:rPr>
                <w:rFonts w:hint="eastAsia" w:ascii="宋体" w:cs="宋体"/>
                <w:kern w:val="0"/>
                <w:szCs w:val="21"/>
              </w:rPr>
              <w:t>分，次之少得分；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6" w:hRule="atLeast"/>
        </w:trPr>
        <w:tc>
          <w:tcPr>
            <w:tcW w:w="1158" w:type="dxa"/>
            <w:vMerge w:val="continue"/>
            <w:vAlign w:val="center"/>
          </w:tcPr>
          <w:p>
            <w:pPr>
              <w:widowControl w:val="0"/>
              <w:spacing w:line="360" w:lineRule="exact"/>
              <w:jc w:val="center"/>
              <w:rPr>
                <w:rFonts w:ascii="宋体"/>
              </w:rPr>
            </w:pPr>
          </w:p>
        </w:tc>
        <w:tc>
          <w:tcPr>
            <w:tcW w:w="1440" w:type="dxa"/>
            <w:vMerge w:val="continue"/>
            <w:vAlign w:val="center"/>
          </w:tcPr>
          <w:p>
            <w:pPr>
              <w:widowControl w:val="0"/>
              <w:spacing w:line="360" w:lineRule="exact"/>
              <w:jc w:val="center"/>
              <w:rPr>
                <w:rFonts w:ascii="宋体"/>
              </w:rPr>
            </w:pPr>
          </w:p>
        </w:tc>
        <w:tc>
          <w:tcPr>
            <w:tcW w:w="2188" w:type="dxa"/>
            <w:vMerge w:val="continue"/>
            <w:vAlign w:val="center"/>
          </w:tcPr>
          <w:p>
            <w:pPr>
              <w:widowControl w:val="0"/>
              <w:spacing w:line="360" w:lineRule="exact"/>
              <w:jc w:val="center"/>
              <w:rPr>
                <w:rFonts w:ascii="宋体"/>
              </w:rPr>
            </w:pPr>
          </w:p>
        </w:tc>
        <w:tc>
          <w:tcPr>
            <w:tcW w:w="5103" w:type="dxa"/>
            <w:vAlign w:val="center"/>
          </w:tcPr>
          <w:p>
            <w:pPr>
              <w:autoSpaceDE w:val="0"/>
              <w:autoSpaceDN w:val="0"/>
              <w:spacing w:line="340" w:lineRule="exact"/>
              <w:rPr>
                <w:rFonts w:ascii="宋体" w:cs="宋体"/>
                <w:kern w:val="0"/>
                <w:szCs w:val="21"/>
              </w:rPr>
            </w:pPr>
            <w:r>
              <w:rPr>
                <w:rFonts w:hint="eastAsia" w:ascii="宋体" w:cs="宋体"/>
                <w:kern w:val="0"/>
                <w:szCs w:val="21"/>
              </w:rPr>
              <w:t>工艺方案先进、合理得</w:t>
            </w:r>
            <w:r>
              <w:rPr>
                <w:rFonts w:ascii="宋体" w:cs="宋体"/>
                <w:kern w:val="0"/>
                <w:szCs w:val="21"/>
              </w:rPr>
              <w:t>4</w:t>
            </w:r>
            <w:r>
              <w:rPr>
                <w:rFonts w:hint="eastAsia" w:ascii="宋体" w:cs="宋体"/>
                <w:kern w:val="0"/>
                <w:szCs w:val="21"/>
              </w:rPr>
              <w:t>分，次之少得分。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158" w:type="dxa"/>
            <w:vMerge w:val="continue"/>
            <w:vAlign w:val="center"/>
          </w:tcPr>
          <w:p>
            <w:pPr>
              <w:widowControl w:val="0"/>
              <w:spacing w:line="360" w:lineRule="exact"/>
              <w:jc w:val="center"/>
              <w:rPr>
                <w:rFonts w:ascii="宋体"/>
              </w:rPr>
            </w:pPr>
          </w:p>
        </w:tc>
        <w:tc>
          <w:tcPr>
            <w:tcW w:w="1440" w:type="dxa"/>
            <w:vMerge w:val="continue"/>
            <w:vAlign w:val="center"/>
          </w:tcPr>
          <w:p>
            <w:pPr>
              <w:widowControl w:val="0"/>
              <w:spacing w:line="360" w:lineRule="exact"/>
              <w:jc w:val="center"/>
              <w:rPr>
                <w:rFonts w:ascii="宋体"/>
              </w:rPr>
            </w:pPr>
          </w:p>
        </w:tc>
        <w:tc>
          <w:tcPr>
            <w:tcW w:w="2188" w:type="dxa"/>
            <w:vAlign w:val="center"/>
          </w:tcPr>
          <w:p>
            <w:pPr>
              <w:autoSpaceDE w:val="0"/>
              <w:autoSpaceDN w:val="0"/>
              <w:spacing w:line="340" w:lineRule="exact"/>
              <w:jc w:val="center"/>
              <w:rPr>
                <w:rFonts w:ascii="宋体" w:cs="宋体"/>
                <w:color w:val="000000"/>
                <w:kern w:val="0"/>
                <w:szCs w:val="21"/>
              </w:rPr>
            </w:pPr>
            <w:r>
              <w:rPr>
                <w:rFonts w:hint="eastAsia" w:ascii="宋体" w:cs="宋体"/>
                <w:color w:val="000000"/>
                <w:kern w:val="0"/>
                <w:szCs w:val="21"/>
              </w:rPr>
              <w:t>检验计划和检验要求（</w:t>
            </w:r>
            <w:r>
              <w:rPr>
                <w:rFonts w:ascii="宋体" w:cs="宋体"/>
                <w:color w:val="000000"/>
                <w:kern w:val="0"/>
                <w:szCs w:val="21"/>
              </w:rPr>
              <w:t>4</w:t>
            </w:r>
            <w:r>
              <w:rPr>
                <w:rFonts w:hint="eastAsia" w:ascii="宋体" w:cs="宋体"/>
                <w:color w:val="000000"/>
                <w:kern w:val="0"/>
                <w:szCs w:val="21"/>
              </w:rPr>
              <w:t>分）</w:t>
            </w:r>
          </w:p>
        </w:tc>
        <w:tc>
          <w:tcPr>
            <w:tcW w:w="5103" w:type="dxa"/>
            <w:vAlign w:val="center"/>
          </w:tcPr>
          <w:p>
            <w:pPr>
              <w:autoSpaceDE w:val="0"/>
              <w:autoSpaceDN w:val="0"/>
              <w:spacing w:line="340" w:lineRule="exact"/>
              <w:rPr>
                <w:rFonts w:ascii="宋体" w:cs="宋体"/>
                <w:kern w:val="0"/>
                <w:szCs w:val="21"/>
              </w:rPr>
            </w:pPr>
            <w:r>
              <w:rPr>
                <w:rFonts w:hint="eastAsia" w:ascii="宋体" w:cs="宋体"/>
                <w:kern w:val="0"/>
                <w:szCs w:val="21"/>
              </w:rPr>
              <w:t>各阶段检验时间、内容、方法、标准及检测手段、检测设备和仪器完善、先进得</w:t>
            </w:r>
            <w:r>
              <w:rPr>
                <w:rFonts w:ascii="宋体" w:cs="宋体"/>
                <w:kern w:val="0"/>
                <w:szCs w:val="21"/>
              </w:rPr>
              <w:t>4</w:t>
            </w:r>
            <w:r>
              <w:rPr>
                <w:rFonts w:hint="eastAsia" w:ascii="宋体" w:cs="宋体"/>
                <w:kern w:val="0"/>
                <w:szCs w:val="21"/>
              </w:rPr>
              <w:t>分，次之少得分。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9" w:hRule="atLeast"/>
        </w:trPr>
        <w:tc>
          <w:tcPr>
            <w:tcW w:w="1158" w:type="dxa"/>
            <w:vMerge w:val="continue"/>
            <w:vAlign w:val="center"/>
          </w:tcPr>
          <w:p>
            <w:pPr>
              <w:widowControl w:val="0"/>
              <w:spacing w:line="360" w:lineRule="exact"/>
              <w:jc w:val="center"/>
              <w:rPr>
                <w:rFonts w:ascii="宋体"/>
              </w:rPr>
            </w:pPr>
          </w:p>
        </w:tc>
        <w:tc>
          <w:tcPr>
            <w:tcW w:w="1440" w:type="dxa"/>
            <w:vMerge w:val="continue"/>
            <w:vAlign w:val="center"/>
          </w:tcPr>
          <w:p>
            <w:pPr>
              <w:widowControl w:val="0"/>
              <w:spacing w:line="360" w:lineRule="exact"/>
              <w:jc w:val="center"/>
              <w:rPr>
                <w:rFonts w:ascii="宋体"/>
              </w:rPr>
            </w:pPr>
          </w:p>
        </w:tc>
        <w:tc>
          <w:tcPr>
            <w:tcW w:w="2188" w:type="dxa"/>
            <w:vAlign w:val="center"/>
          </w:tcPr>
          <w:p>
            <w:pPr>
              <w:autoSpaceDE w:val="0"/>
              <w:autoSpaceDN w:val="0"/>
              <w:spacing w:line="340" w:lineRule="exact"/>
              <w:jc w:val="center"/>
              <w:rPr>
                <w:rFonts w:ascii="宋体" w:cs="宋体"/>
                <w:color w:val="000000"/>
                <w:kern w:val="0"/>
                <w:szCs w:val="21"/>
              </w:rPr>
            </w:pPr>
            <w:r>
              <w:rPr>
                <w:rFonts w:hint="eastAsia" w:ascii="宋体" w:cs="宋体"/>
                <w:color w:val="000000"/>
                <w:kern w:val="0"/>
                <w:szCs w:val="21"/>
              </w:rPr>
              <w:t>质量保证措施及安全保证措施（</w:t>
            </w:r>
            <w:r>
              <w:rPr>
                <w:rFonts w:ascii="宋体" w:cs="宋体"/>
                <w:color w:val="000000"/>
                <w:kern w:val="0"/>
                <w:szCs w:val="21"/>
              </w:rPr>
              <w:t>3</w:t>
            </w:r>
            <w:r>
              <w:rPr>
                <w:rFonts w:hint="eastAsia" w:ascii="宋体" w:cs="宋体"/>
                <w:color w:val="000000"/>
                <w:kern w:val="0"/>
                <w:szCs w:val="21"/>
              </w:rPr>
              <w:t>分）</w:t>
            </w:r>
          </w:p>
        </w:tc>
        <w:tc>
          <w:tcPr>
            <w:tcW w:w="5103" w:type="dxa"/>
            <w:vAlign w:val="center"/>
          </w:tcPr>
          <w:p>
            <w:pPr>
              <w:autoSpaceDE w:val="0"/>
              <w:autoSpaceDN w:val="0"/>
              <w:spacing w:line="340" w:lineRule="exact"/>
              <w:rPr>
                <w:rFonts w:ascii="宋体" w:cs="宋体"/>
                <w:kern w:val="0"/>
                <w:szCs w:val="21"/>
              </w:rPr>
            </w:pPr>
            <w:r>
              <w:rPr>
                <w:rFonts w:hint="eastAsia" w:ascii="宋体" w:cs="宋体"/>
                <w:kern w:val="0"/>
                <w:szCs w:val="21"/>
              </w:rPr>
              <w:t>质量保证措施、安全保证措施详细可靠得</w:t>
            </w:r>
            <w:r>
              <w:rPr>
                <w:rFonts w:ascii="宋体" w:cs="宋体"/>
                <w:kern w:val="0"/>
                <w:szCs w:val="21"/>
              </w:rPr>
              <w:t>3</w:t>
            </w:r>
            <w:r>
              <w:rPr>
                <w:rFonts w:hint="eastAsia" w:ascii="宋体" w:cs="宋体"/>
                <w:kern w:val="0"/>
                <w:szCs w:val="21"/>
              </w:rPr>
              <w:t>分，次之少得分；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158" w:type="dxa"/>
            <w:vMerge w:val="continue"/>
            <w:vAlign w:val="center"/>
          </w:tcPr>
          <w:p>
            <w:pPr>
              <w:widowControl w:val="0"/>
              <w:spacing w:line="360" w:lineRule="exact"/>
              <w:jc w:val="center"/>
              <w:rPr>
                <w:rFonts w:ascii="宋体"/>
              </w:rPr>
            </w:pPr>
          </w:p>
        </w:tc>
        <w:tc>
          <w:tcPr>
            <w:tcW w:w="1440" w:type="dxa"/>
            <w:vMerge w:val="continue"/>
            <w:vAlign w:val="center"/>
          </w:tcPr>
          <w:p>
            <w:pPr>
              <w:widowControl w:val="0"/>
              <w:spacing w:line="360" w:lineRule="exact"/>
              <w:jc w:val="center"/>
              <w:rPr>
                <w:rFonts w:ascii="宋体"/>
              </w:rPr>
            </w:pPr>
          </w:p>
        </w:tc>
        <w:tc>
          <w:tcPr>
            <w:tcW w:w="2188" w:type="dxa"/>
            <w:vAlign w:val="center"/>
          </w:tcPr>
          <w:p>
            <w:pPr>
              <w:autoSpaceDE w:val="0"/>
              <w:autoSpaceDN w:val="0"/>
              <w:spacing w:line="300" w:lineRule="exact"/>
              <w:jc w:val="center"/>
              <w:rPr>
                <w:rFonts w:ascii="宋体" w:cs="宋体"/>
                <w:color w:val="000000"/>
                <w:kern w:val="0"/>
                <w:szCs w:val="21"/>
              </w:rPr>
            </w:pPr>
            <w:r>
              <w:rPr>
                <w:rFonts w:hint="eastAsia" w:ascii="宋体" w:hAnsi="宋体"/>
                <w:color w:val="000000"/>
              </w:rPr>
              <w:t>产品运输方案的可靠性（</w:t>
            </w:r>
            <w:r>
              <w:rPr>
                <w:rFonts w:ascii="宋体" w:hAnsi="宋体"/>
                <w:color w:val="000000"/>
              </w:rPr>
              <w:t>3</w:t>
            </w:r>
            <w:r>
              <w:rPr>
                <w:rFonts w:hint="eastAsia" w:ascii="宋体" w:hAnsi="宋体"/>
                <w:color w:val="000000"/>
              </w:rPr>
              <w:t>分）</w:t>
            </w:r>
          </w:p>
        </w:tc>
        <w:tc>
          <w:tcPr>
            <w:tcW w:w="5103" w:type="dxa"/>
            <w:vAlign w:val="center"/>
          </w:tcPr>
          <w:p>
            <w:pPr>
              <w:autoSpaceDE w:val="0"/>
              <w:autoSpaceDN w:val="0"/>
              <w:spacing w:line="340" w:lineRule="exact"/>
              <w:rPr>
                <w:rFonts w:ascii="宋体" w:cs="宋体"/>
                <w:kern w:val="0"/>
                <w:szCs w:val="21"/>
              </w:rPr>
            </w:pPr>
            <w:r>
              <w:rPr>
                <w:rFonts w:hint="eastAsia" w:ascii="宋体" w:hAnsi="宋体"/>
              </w:rPr>
              <w:t>运输方案切实可行得</w:t>
            </w:r>
            <w:r>
              <w:rPr>
                <w:rFonts w:ascii="宋体" w:hAnsi="宋体"/>
              </w:rPr>
              <w:t>3</w:t>
            </w:r>
            <w:r>
              <w:rPr>
                <w:rFonts w:hint="eastAsia" w:ascii="宋体" w:hAnsi="宋体"/>
              </w:rPr>
              <w:t>分，基本可行得</w:t>
            </w:r>
            <w:r>
              <w:rPr>
                <w:rFonts w:ascii="宋体" w:hAnsi="宋体"/>
              </w:rPr>
              <w:t>1</w:t>
            </w:r>
            <w:r>
              <w:rPr>
                <w:rFonts w:hint="eastAsia" w:ascii="宋体" w:hAnsi="宋体"/>
              </w:rPr>
              <w:t>分，差不得分。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158" w:type="dxa"/>
            <w:vMerge w:val="continue"/>
            <w:vAlign w:val="center"/>
          </w:tcPr>
          <w:p>
            <w:pPr>
              <w:widowControl w:val="0"/>
              <w:spacing w:line="360" w:lineRule="exact"/>
              <w:jc w:val="center"/>
              <w:rPr>
                <w:rFonts w:ascii="宋体"/>
              </w:rPr>
            </w:pPr>
          </w:p>
        </w:tc>
        <w:tc>
          <w:tcPr>
            <w:tcW w:w="1440" w:type="dxa"/>
            <w:vMerge w:val="continue"/>
            <w:vAlign w:val="center"/>
          </w:tcPr>
          <w:p>
            <w:pPr>
              <w:widowControl w:val="0"/>
              <w:spacing w:line="360" w:lineRule="exact"/>
              <w:jc w:val="center"/>
              <w:rPr>
                <w:rFonts w:ascii="宋体"/>
              </w:rPr>
            </w:pPr>
          </w:p>
        </w:tc>
        <w:tc>
          <w:tcPr>
            <w:tcW w:w="2188" w:type="dxa"/>
            <w:vAlign w:val="center"/>
          </w:tcPr>
          <w:p>
            <w:pPr>
              <w:autoSpaceDE w:val="0"/>
              <w:autoSpaceDN w:val="0"/>
              <w:spacing w:line="300" w:lineRule="exact"/>
              <w:jc w:val="center"/>
              <w:rPr>
                <w:rFonts w:ascii="宋体"/>
              </w:rPr>
            </w:pPr>
            <w:r>
              <w:rPr>
                <w:rFonts w:hint="eastAsia" w:ascii="宋体" w:hAnsi="宋体"/>
              </w:rPr>
              <w:t>资源配置（</w:t>
            </w:r>
            <w:r>
              <w:rPr>
                <w:rFonts w:ascii="宋体" w:hAnsi="宋体"/>
              </w:rPr>
              <w:t>4</w:t>
            </w:r>
            <w:r>
              <w:rPr>
                <w:rFonts w:hint="eastAsia" w:ascii="宋体" w:hAnsi="宋体"/>
              </w:rPr>
              <w:t>分）</w:t>
            </w:r>
          </w:p>
        </w:tc>
        <w:tc>
          <w:tcPr>
            <w:tcW w:w="5103" w:type="dxa"/>
            <w:vAlign w:val="center"/>
          </w:tcPr>
          <w:p>
            <w:pPr>
              <w:autoSpaceDE w:val="0"/>
              <w:autoSpaceDN w:val="0"/>
              <w:spacing w:line="340" w:lineRule="exact"/>
              <w:rPr>
                <w:rFonts w:ascii="宋体"/>
              </w:rPr>
            </w:pPr>
            <w:r>
              <w:rPr>
                <w:rFonts w:hint="eastAsia" w:ascii="宋体" w:hAnsi="宋体"/>
              </w:rPr>
              <w:t>制造加工设备先进、自动化程度高、配置合理、齐全得</w:t>
            </w:r>
            <w:r>
              <w:rPr>
                <w:rFonts w:ascii="宋体" w:hAnsi="宋体"/>
              </w:rPr>
              <w:t>2</w:t>
            </w:r>
            <w:r>
              <w:rPr>
                <w:rFonts w:hint="eastAsia" w:ascii="宋体" w:hAnsi="宋体"/>
              </w:rPr>
              <w:t>分，质量检验设备齐全得</w:t>
            </w:r>
            <w:r>
              <w:rPr>
                <w:rFonts w:ascii="宋体" w:hAnsi="宋体"/>
              </w:rPr>
              <w:t>1</w:t>
            </w:r>
            <w:r>
              <w:rPr>
                <w:rFonts w:hint="eastAsia" w:ascii="宋体" w:hAnsi="宋体"/>
              </w:rPr>
              <w:t>～</w:t>
            </w:r>
            <w:r>
              <w:rPr>
                <w:rFonts w:ascii="宋体" w:hAnsi="宋体"/>
              </w:rPr>
              <w:t>2</w:t>
            </w:r>
            <w:r>
              <w:rPr>
                <w:rFonts w:hint="eastAsia" w:ascii="宋体" w:hAnsi="宋体"/>
              </w:rPr>
              <w:t>分，否则少得分。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158" w:type="dxa"/>
            <w:vMerge w:val="continue"/>
            <w:vAlign w:val="center"/>
          </w:tcPr>
          <w:p>
            <w:pPr>
              <w:widowControl w:val="0"/>
              <w:spacing w:line="360" w:lineRule="exact"/>
              <w:jc w:val="center"/>
              <w:rPr>
                <w:rFonts w:ascii="宋体"/>
              </w:rPr>
            </w:pPr>
          </w:p>
        </w:tc>
        <w:tc>
          <w:tcPr>
            <w:tcW w:w="1440" w:type="dxa"/>
            <w:vMerge w:val="continue"/>
            <w:vAlign w:val="center"/>
          </w:tcPr>
          <w:p>
            <w:pPr>
              <w:widowControl w:val="0"/>
              <w:spacing w:line="360" w:lineRule="exact"/>
              <w:jc w:val="center"/>
              <w:rPr>
                <w:rFonts w:ascii="宋体"/>
              </w:rPr>
            </w:pPr>
          </w:p>
        </w:tc>
        <w:tc>
          <w:tcPr>
            <w:tcW w:w="2188" w:type="dxa"/>
            <w:vAlign w:val="center"/>
          </w:tcPr>
          <w:p>
            <w:pPr>
              <w:tabs>
                <w:tab w:val="left" w:pos="2052"/>
              </w:tabs>
              <w:spacing w:line="400" w:lineRule="exact"/>
              <w:jc w:val="center"/>
              <w:rPr>
                <w:rFonts w:ascii="宋体"/>
                <w:szCs w:val="21"/>
              </w:rPr>
            </w:pPr>
            <w:r>
              <w:rPr>
                <w:rFonts w:hint="eastAsia" w:ascii="宋体" w:hAnsi="宋体"/>
                <w:szCs w:val="21"/>
              </w:rPr>
              <w:t>检修条件、售后服务及人员培训（</w:t>
            </w:r>
            <w:r>
              <w:rPr>
                <w:rFonts w:ascii="宋体" w:hAnsi="宋体"/>
                <w:szCs w:val="21"/>
              </w:rPr>
              <w:t>2</w:t>
            </w:r>
            <w:r>
              <w:rPr>
                <w:rFonts w:hint="eastAsia" w:ascii="宋体" w:hAnsi="宋体"/>
                <w:szCs w:val="21"/>
              </w:rPr>
              <w:t>分）</w:t>
            </w:r>
          </w:p>
        </w:tc>
        <w:tc>
          <w:tcPr>
            <w:tcW w:w="5103" w:type="dxa"/>
            <w:vAlign w:val="center"/>
          </w:tcPr>
          <w:p>
            <w:pPr>
              <w:autoSpaceDE w:val="0"/>
              <w:autoSpaceDN w:val="0"/>
              <w:spacing w:line="340" w:lineRule="exact"/>
              <w:rPr>
                <w:rFonts w:ascii="宋体" w:cs="宋体"/>
                <w:kern w:val="0"/>
                <w:szCs w:val="21"/>
              </w:rPr>
            </w:pPr>
            <w:r>
              <w:rPr>
                <w:rFonts w:hint="eastAsia" w:ascii="宋体" w:cs="宋体"/>
                <w:kern w:val="0"/>
                <w:szCs w:val="21"/>
              </w:rPr>
              <w:t>检修条件、售后服务措施和计划完善，优于招标文件的基本要求得</w:t>
            </w:r>
            <w:r>
              <w:rPr>
                <w:rFonts w:ascii="宋体" w:cs="宋体"/>
                <w:kern w:val="0"/>
                <w:szCs w:val="21"/>
              </w:rPr>
              <w:t>1</w:t>
            </w:r>
            <w:r>
              <w:rPr>
                <w:rFonts w:hint="eastAsia" w:ascii="宋体" w:cs="宋体"/>
                <w:kern w:val="0"/>
                <w:szCs w:val="21"/>
              </w:rPr>
              <w:t>分，次之少得分：人员培训计划完整得</w:t>
            </w:r>
            <w:r>
              <w:rPr>
                <w:rFonts w:ascii="宋体" w:cs="宋体"/>
                <w:kern w:val="0"/>
                <w:szCs w:val="21"/>
              </w:rPr>
              <w:t>1</w:t>
            </w:r>
            <w:r>
              <w:rPr>
                <w:rFonts w:hint="eastAsia" w:ascii="宋体" w:cs="宋体"/>
                <w:kern w:val="0"/>
                <w:szCs w:val="21"/>
              </w:rPr>
              <w:t>分，否则少得分。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158" w:type="dxa"/>
            <w:vAlign w:val="center"/>
          </w:tcPr>
          <w:p>
            <w:pPr>
              <w:widowControl w:val="0"/>
              <w:spacing w:line="360" w:lineRule="exact"/>
              <w:jc w:val="center"/>
              <w:rPr>
                <w:rFonts w:ascii="宋体"/>
              </w:rPr>
            </w:pPr>
            <w:r>
              <w:rPr>
                <w:rFonts w:ascii="宋体" w:hAnsi="宋体"/>
              </w:rPr>
              <w:t>2.2.4</w:t>
            </w:r>
          </w:p>
          <w:p>
            <w:pPr>
              <w:widowControl w:val="0"/>
              <w:spacing w:line="360" w:lineRule="exact"/>
              <w:jc w:val="center"/>
              <w:rPr>
                <w:rFonts w:ascii="宋体"/>
              </w:rPr>
            </w:pPr>
            <w:r>
              <w:rPr>
                <w:rFonts w:hint="eastAsia" w:ascii="宋体" w:hAnsi="宋体"/>
              </w:rPr>
              <w:t>（</w:t>
            </w:r>
            <w:r>
              <w:rPr>
                <w:rFonts w:ascii="宋体" w:hAnsi="宋体"/>
              </w:rPr>
              <w:t>3</w:t>
            </w:r>
            <w:r>
              <w:rPr>
                <w:rFonts w:hint="eastAsia" w:ascii="宋体" w:hAnsi="宋体"/>
              </w:rPr>
              <w:t>）</w:t>
            </w:r>
          </w:p>
        </w:tc>
        <w:tc>
          <w:tcPr>
            <w:tcW w:w="1440" w:type="dxa"/>
            <w:vAlign w:val="center"/>
          </w:tcPr>
          <w:p>
            <w:pPr>
              <w:widowControl w:val="0"/>
              <w:spacing w:line="360" w:lineRule="exact"/>
              <w:jc w:val="center"/>
              <w:rPr>
                <w:rFonts w:ascii="宋体"/>
              </w:rPr>
            </w:pPr>
            <w:r>
              <w:rPr>
                <w:rFonts w:hint="eastAsia" w:ascii="宋体" w:hAnsi="宋体"/>
              </w:rPr>
              <w:t>投标报价评分标准</w:t>
            </w:r>
          </w:p>
          <w:p>
            <w:pPr>
              <w:widowControl w:val="0"/>
              <w:spacing w:line="360" w:lineRule="exact"/>
              <w:jc w:val="center"/>
              <w:rPr>
                <w:rFonts w:ascii="宋体"/>
              </w:rPr>
            </w:pPr>
            <w:r>
              <w:rPr>
                <w:rFonts w:hint="eastAsia" w:ascii="宋体" w:hAnsi="宋体"/>
              </w:rPr>
              <w:t>（</w:t>
            </w:r>
            <w:r>
              <w:rPr>
                <w:rFonts w:ascii="宋体" w:hAnsi="宋体"/>
              </w:rPr>
              <w:t>50</w:t>
            </w:r>
            <w:r>
              <w:rPr>
                <w:rFonts w:hint="eastAsia" w:ascii="宋体" w:hAnsi="宋体"/>
              </w:rPr>
              <w:t>分）</w:t>
            </w:r>
          </w:p>
        </w:tc>
        <w:tc>
          <w:tcPr>
            <w:tcW w:w="2188" w:type="dxa"/>
            <w:vAlign w:val="center"/>
          </w:tcPr>
          <w:p>
            <w:pPr>
              <w:spacing w:line="300" w:lineRule="exact"/>
              <w:jc w:val="center"/>
              <w:rPr>
                <w:rFonts w:ascii="宋体" w:cs="宋体"/>
                <w:bCs/>
                <w:szCs w:val="21"/>
                <w:lang w:val="zh-CN"/>
              </w:rPr>
            </w:pPr>
            <w:r>
              <w:rPr>
                <w:rFonts w:hint="eastAsia" w:ascii="宋体" w:hAnsi="宋体" w:cs="宋体"/>
                <w:bCs/>
                <w:szCs w:val="21"/>
                <w:lang w:val="zh-CN"/>
              </w:rPr>
              <w:t>投标报价得分</w:t>
            </w:r>
          </w:p>
          <w:p>
            <w:pPr>
              <w:spacing w:line="300" w:lineRule="exact"/>
              <w:jc w:val="center"/>
              <w:rPr>
                <w:rFonts w:ascii="宋体" w:cs="宋体"/>
                <w:bCs/>
                <w:szCs w:val="21"/>
                <w:lang w:val="zh-CN"/>
              </w:rPr>
            </w:pPr>
            <w:r>
              <w:rPr>
                <w:rFonts w:hint="eastAsia" w:ascii="宋体" w:hAnsi="宋体" w:cs="宋体"/>
                <w:bCs/>
                <w:szCs w:val="21"/>
                <w:lang w:val="zh-CN"/>
              </w:rPr>
              <w:t>（</w:t>
            </w:r>
            <w:r>
              <w:rPr>
                <w:rFonts w:ascii="宋体" w:hAnsi="宋体" w:cs="宋体"/>
                <w:bCs/>
                <w:szCs w:val="21"/>
              </w:rPr>
              <w:t>50</w:t>
            </w:r>
            <w:r>
              <w:rPr>
                <w:rFonts w:hint="eastAsia" w:ascii="宋体" w:hAnsi="宋体" w:cs="宋体"/>
                <w:bCs/>
                <w:szCs w:val="21"/>
                <w:lang w:val="zh-CN"/>
              </w:rPr>
              <w:t>分）</w:t>
            </w:r>
          </w:p>
        </w:tc>
        <w:tc>
          <w:tcPr>
            <w:tcW w:w="5103" w:type="dxa"/>
            <w:vAlign w:val="center"/>
          </w:tcPr>
          <w:p>
            <w:pPr>
              <w:spacing w:line="260" w:lineRule="exact"/>
              <w:rPr>
                <w:rFonts w:ascii="宋体"/>
              </w:rPr>
            </w:pPr>
            <w:r>
              <w:rPr>
                <w:rFonts w:hint="eastAsia" w:ascii="宋体" w:hAnsi="宋体"/>
              </w:rPr>
              <w:t>投标报价高于招标控制价作废标处理。投标报价在招标控制价</w:t>
            </w:r>
            <w:r>
              <w:rPr>
                <w:rFonts w:ascii="宋体" w:hAnsi="宋体"/>
              </w:rPr>
              <w:t>85%-100%</w:t>
            </w:r>
            <w:r>
              <w:rPr>
                <w:rFonts w:hint="eastAsia" w:ascii="宋体" w:hAnsi="宋体"/>
              </w:rPr>
              <w:t>之间的报价为有效报价；投标报价低于招标控制价</w:t>
            </w:r>
            <w:r>
              <w:rPr>
                <w:rFonts w:ascii="宋体" w:hAnsi="宋体"/>
              </w:rPr>
              <w:t>85%</w:t>
            </w:r>
            <w:r>
              <w:rPr>
                <w:rFonts w:hint="eastAsia" w:ascii="宋体" w:hAnsi="宋体"/>
              </w:rPr>
              <w:t>的此项仅得基础分</w:t>
            </w:r>
            <w:r>
              <w:rPr>
                <w:rFonts w:ascii="宋体" w:hAnsi="宋体"/>
              </w:rPr>
              <w:t>20</w:t>
            </w:r>
            <w:r>
              <w:rPr>
                <w:rFonts w:hint="eastAsia" w:ascii="宋体" w:hAnsi="宋体"/>
              </w:rPr>
              <w:t>分。</w:t>
            </w:r>
          </w:p>
          <w:p>
            <w:pPr>
              <w:spacing w:line="260" w:lineRule="exact"/>
              <w:rPr>
                <w:rFonts w:ascii="宋体"/>
              </w:rPr>
            </w:pPr>
            <w:r>
              <w:rPr>
                <w:rFonts w:hint="eastAsia" w:ascii="宋体" w:hAnsi="宋体"/>
              </w:rPr>
              <w:t>当投标人的报价等于基准价时满分</w:t>
            </w:r>
            <w:r>
              <w:rPr>
                <w:rFonts w:ascii="宋体" w:hAnsi="宋体"/>
              </w:rPr>
              <w:t>50</w:t>
            </w:r>
            <w:r>
              <w:rPr>
                <w:rFonts w:hint="eastAsia" w:ascii="宋体" w:hAnsi="宋体"/>
              </w:rPr>
              <w:t>分；</w:t>
            </w:r>
          </w:p>
          <w:p>
            <w:pPr>
              <w:spacing w:line="260" w:lineRule="exact"/>
              <w:rPr>
                <w:rFonts w:ascii="宋体"/>
              </w:rPr>
            </w:pPr>
            <w:r>
              <w:rPr>
                <w:rFonts w:hint="eastAsia" w:ascii="宋体" w:hAnsi="宋体"/>
              </w:rPr>
              <w:t>以基准价为基准，投标报价每下浮</w:t>
            </w:r>
            <w:r>
              <w:rPr>
                <w:rFonts w:ascii="宋体" w:hAnsi="宋体"/>
              </w:rPr>
              <w:t>1%</w:t>
            </w:r>
            <w:r>
              <w:rPr>
                <w:rFonts w:hint="eastAsia" w:ascii="宋体" w:hAnsi="宋体"/>
              </w:rPr>
              <w:t>扣</w:t>
            </w:r>
            <w:r>
              <w:rPr>
                <w:rFonts w:ascii="宋体" w:hAnsi="宋体"/>
              </w:rPr>
              <w:t>0.3</w:t>
            </w:r>
            <w:r>
              <w:rPr>
                <w:rFonts w:hint="eastAsia" w:ascii="宋体" w:hAnsi="宋体"/>
              </w:rPr>
              <w:t>分，直至得分为零；</w:t>
            </w:r>
          </w:p>
          <w:p>
            <w:pPr>
              <w:spacing w:line="260" w:lineRule="exact"/>
              <w:rPr>
                <w:rFonts w:ascii="宋体"/>
              </w:rPr>
            </w:pPr>
            <w:r>
              <w:rPr>
                <w:rFonts w:hint="eastAsia" w:ascii="宋体" w:hAnsi="宋体"/>
              </w:rPr>
              <w:t>以基准价为基准，投标报价每上浮</w:t>
            </w:r>
            <w:r>
              <w:rPr>
                <w:rFonts w:ascii="宋体" w:hAnsi="宋体"/>
              </w:rPr>
              <w:t>1%</w:t>
            </w:r>
            <w:r>
              <w:rPr>
                <w:rFonts w:hint="eastAsia" w:ascii="宋体" w:hAnsi="宋体"/>
              </w:rPr>
              <w:t>扣</w:t>
            </w:r>
            <w:r>
              <w:rPr>
                <w:rFonts w:ascii="宋体" w:hAnsi="宋体"/>
              </w:rPr>
              <w:t>0.5</w:t>
            </w:r>
            <w:r>
              <w:rPr>
                <w:rFonts w:hint="eastAsia" w:ascii="宋体" w:hAnsi="宋体"/>
              </w:rPr>
              <w:t>分，直至得分为零；</w:t>
            </w:r>
          </w:p>
          <w:p>
            <w:pPr>
              <w:spacing w:line="260" w:lineRule="exact"/>
              <w:rPr>
                <w:rFonts w:ascii="宋体"/>
              </w:rPr>
            </w:pPr>
            <w:r>
              <w:rPr>
                <w:rFonts w:hint="eastAsia" w:ascii="宋体" w:hAnsi="宋体"/>
              </w:rPr>
              <w:t>得分保留小数点后两位数字。</w:t>
            </w:r>
          </w:p>
          <w:p>
            <w:pPr>
              <w:spacing w:line="340" w:lineRule="exact"/>
              <w:rPr>
                <w:rFonts w:ascii="宋体"/>
                <w:bCs/>
                <w:color w:val="000000"/>
              </w:rPr>
            </w:pPr>
            <w:r>
              <w:rPr>
                <w:rFonts w:hint="eastAsia" w:ascii="宋体" w:hAnsi="宋体"/>
                <w:color w:val="000000"/>
              </w:rPr>
              <w:t>基准价等于①</w:t>
            </w:r>
            <w:r>
              <w:rPr>
                <w:rFonts w:hint="eastAsia" w:ascii="宋体" w:hAnsi="宋体"/>
              </w:rPr>
              <w:t>所有投标有效报价数为</w:t>
            </w:r>
            <w:r>
              <w:rPr>
                <w:rFonts w:ascii="宋体" w:hAnsi="宋体"/>
                <w:color w:val="000000"/>
              </w:rPr>
              <w:t>5</w:t>
            </w:r>
            <w:r>
              <w:rPr>
                <w:rFonts w:hint="eastAsia" w:ascii="宋体" w:hAnsi="宋体"/>
                <w:color w:val="000000"/>
              </w:rPr>
              <w:t>家或</w:t>
            </w:r>
            <w:r>
              <w:rPr>
                <w:rFonts w:ascii="宋体" w:hAnsi="宋体"/>
                <w:color w:val="000000"/>
              </w:rPr>
              <w:t>5</w:t>
            </w:r>
            <w:r>
              <w:rPr>
                <w:rFonts w:hint="eastAsia" w:ascii="宋体" w:hAnsi="宋体"/>
                <w:color w:val="000000"/>
              </w:rPr>
              <w:t>家以上，去掉最高和最低投标报价后的算术平均值；②</w:t>
            </w:r>
            <w:r>
              <w:rPr>
                <w:rFonts w:hint="eastAsia" w:ascii="宋体" w:hAnsi="宋体"/>
              </w:rPr>
              <w:t>所有投标有效报价数</w:t>
            </w:r>
            <w:r>
              <w:rPr>
                <w:rFonts w:hint="eastAsia" w:ascii="宋体" w:hAnsi="宋体"/>
                <w:color w:val="000000"/>
              </w:rPr>
              <w:t>少于</w:t>
            </w:r>
            <w:r>
              <w:rPr>
                <w:rFonts w:ascii="宋体" w:hAnsi="宋体"/>
                <w:color w:val="000000"/>
              </w:rPr>
              <w:t>5</w:t>
            </w:r>
            <w:r>
              <w:rPr>
                <w:rFonts w:hint="eastAsia" w:ascii="宋体" w:hAnsi="宋体"/>
                <w:color w:val="000000"/>
              </w:rPr>
              <w:t>家则基准价等于各投标人投标报价的算术平均值。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158" w:type="dxa"/>
            <w:vAlign w:val="center"/>
          </w:tcPr>
          <w:p>
            <w:pPr>
              <w:widowControl w:val="0"/>
              <w:spacing w:line="360" w:lineRule="exact"/>
              <w:jc w:val="center"/>
              <w:rPr>
                <w:rFonts w:ascii="宋体"/>
              </w:rPr>
            </w:pPr>
            <w:r>
              <w:rPr>
                <w:rFonts w:ascii="宋体" w:hAnsi="宋体"/>
              </w:rPr>
              <w:t>2.2.4</w:t>
            </w:r>
          </w:p>
          <w:p>
            <w:pPr>
              <w:widowControl w:val="0"/>
              <w:spacing w:line="360" w:lineRule="exact"/>
              <w:jc w:val="center"/>
              <w:rPr>
                <w:rFonts w:ascii="宋体"/>
              </w:rPr>
            </w:pPr>
            <w:r>
              <w:rPr>
                <w:rFonts w:hint="eastAsia" w:ascii="宋体" w:hAnsi="宋体"/>
              </w:rPr>
              <w:t>（</w:t>
            </w:r>
            <w:r>
              <w:rPr>
                <w:rFonts w:ascii="宋体" w:hAnsi="宋体"/>
              </w:rPr>
              <w:t>4</w:t>
            </w:r>
            <w:r>
              <w:rPr>
                <w:rFonts w:hint="eastAsia" w:ascii="宋体" w:hAnsi="宋体"/>
              </w:rPr>
              <w:t>）</w:t>
            </w:r>
          </w:p>
        </w:tc>
        <w:tc>
          <w:tcPr>
            <w:tcW w:w="1440" w:type="dxa"/>
            <w:vAlign w:val="center"/>
          </w:tcPr>
          <w:p>
            <w:pPr>
              <w:widowControl w:val="0"/>
              <w:spacing w:line="320" w:lineRule="exact"/>
              <w:jc w:val="center"/>
              <w:rPr>
                <w:rFonts w:ascii="宋体"/>
              </w:rPr>
            </w:pPr>
            <w:r>
              <w:rPr>
                <w:rFonts w:hint="eastAsia" w:ascii="宋体" w:hAnsi="宋体"/>
              </w:rPr>
              <w:t>其他因素评分标准</w:t>
            </w:r>
          </w:p>
          <w:p>
            <w:pPr>
              <w:widowControl w:val="0"/>
              <w:spacing w:line="320" w:lineRule="exact"/>
              <w:jc w:val="center"/>
              <w:rPr>
                <w:rFonts w:ascii="宋体"/>
              </w:rPr>
            </w:pPr>
            <w:r>
              <w:rPr>
                <w:rFonts w:hint="eastAsia" w:ascii="宋体" w:hAnsi="宋体"/>
              </w:rPr>
              <w:t>（</w:t>
            </w:r>
            <w:r>
              <w:rPr>
                <w:rFonts w:ascii="宋体" w:hAnsi="宋体"/>
              </w:rPr>
              <w:t>4</w:t>
            </w:r>
            <w:r>
              <w:rPr>
                <w:rFonts w:hint="eastAsia" w:ascii="宋体" w:hAnsi="宋体"/>
              </w:rPr>
              <w:t>分）</w:t>
            </w:r>
          </w:p>
        </w:tc>
        <w:tc>
          <w:tcPr>
            <w:tcW w:w="2188" w:type="dxa"/>
            <w:vAlign w:val="center"/>
          </w:tcPr>
          <w:p>
            <w:pPr>
              <w:tabs>
                <w:tab w:val="left" w:pos="2052"/>
              </w:tabs>
              <w:spacing w:line="400" w:lineRule="exact"/>
              <w:jc w:val="center"/>
              <w:rPr>
                <w:rFonts w:ascii="宋体"/>
                <w:szCs w:val="21"/>
              </w:rPr>
            </w:pPr>
            <w:r>
              <w:rPr>
                <w:rFonts w:hint="eastAsia" w:ascii="宋体" w:hAnsi="宋体"/>
                <w:szCs w:val="21"/>
              </w:rPr>
              <w:t>优惠条件（</w:t>
            </w:r>
            <w:r>
              <w:rPr>
                <w:rFonts w:ascii="宋体" w:hAnsi="宋体"/>
                <w:szCs w:val="21"/>
              </w:rPr>
              <w:t>4</w:t>
            </w:r>
            <w:r>
              <w:rPr>
                <w:rFonts w:hint="eastAsia" w:ascii="宋体" w:hAnsi="宋体"/>
                <w:szCs w:val="21"/>
              </w:rPr>
              <w:t>分）</w:t>
            </w:r>
          </w:p>
        </w:tc>
        <w:tc>
          <w:tcPr>
            <w:tcW w:w="5103" w:type="dxa"/>
            <w:vAlign w:val="center"/>
          </w:tcPr>
          <w:p>
            <w:pPr>
              <w:autoSpaceDE w:val="0"/>
              <w:autoSpaceDN w:val="0"/>
              <w:spacing w:line="340" w:lineRule="exact"/>
              <w:rPr>
                <w:rFonts w:ascii="宋体" w:cs="宋体"/>
                <w:kern w:val="0"/>
                <w:szCs w:val="21"/>
              </w:rPr>
            </w:pPr>
            <w:r>
              <w:rPr>
                <w:rFonts w:hint="eastAsia" w:ascii="宋体" w:hAnsi="宋体"/>
                <w:bCs/>
                <w:szCs w:val="21"/>
              </w:rPr>
              <w:t>招标人可接受的优惠条件，每有一项加</w:t>
            </w:r>
            <w:r>
              <w:rPr>
                <w:rFonts w:ascii="宋体" w:hAnsi="宋体"/>
                <w:bCs/>
                <w:szCs w:val="21"/>
              </w:rPr>
              <w:t>1</w:t>
            </w:r>
            <w:r>
              <w:rPr>
                <w:rFonts w:hint="eastAsia" w:ascii="宋体" w:hAnsi="宋体"/>
                <w:bCs/>
                <w:szCs w:val="21"/>
              </w:rPr>
              <w:t>分，加至</w:t>
            </w:r>
            <w:r>
              <w:rPr>
                <w:rFonts w:ascii="宋体" w:hAnsi="宋体"/>
                <w:bCs/>
                <w:szCs w:val="21"/>
              </w:rPr>
              <w:t>4</w:t>
            </w:r>
            <w:r>
              <w:rPr>
                <w:rFonts w:hint="eastAsia" w:ascii="宋体" w:hAnsi="宋体"/>
                <w:bCs/>
                <w:szCs w:val="21"/>
              </w:rPr>
              <w:t>分止。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9889" w:type="dxa"/>
            <w:gridSpan w:val="4"/>
            <w:tcBorders>
              <w:bottom w:val="single" w:color="auto" w:sz="12" w:space="0"/>
            </w:tcBorders>
            <w:vAlign w:val="center"/>
          </w:tcPr>
          <w:p>
            <w:pPr>
              <w:autoSpaceDE w:val="0"/>
              <w:autoSpaceDN w:val="0"/>
              <w:adjustRightInd w:val="0"/>
              <w:spacing w:line="380" w:lineRule="exact"/>
              <w:rPr>
                <w:rFonts w:ascii="宋体"/>
                <w:szCs w:val="21"/>
              </w:rPr>
            </w:pPr>
            <w:r>
              <w:rPr>
                <w:rFonts w:hint="eastAsia" w:ascii="宋体" w:hAnsi="宋体"/>
                <w:b/>
                <w:szCs w:val="21"/>
              </w:rPr>
              <w:t>补充说明：投标人的最终得分为所有评标委员的评分结果去掉一个最高分和一个最低分后的算术平均值。</w:t>
            </w:r>
          </w:p>
        </w:tc>
      </w:tr>
    </w:tbl>
    <w:p>
      <w:pPr>
        <w:rPr>
          <w:rFonts w:ascii="宋体" w:hAnsi="宋体" w:cs="宋体"/>
          <w:b/>
          <w:bCs/>
          <w:szCs w:val="21"/>
        </w:rPr>
      </w:pPr>
      <w:bookmarkStart w:id="17" w:name="_Toc26387"/>
      <w:r>
        <w:rPr>
          <w:rFonts w:hint="eastAsia" w:ascii="宋体" w:hAnsi="宋体" w:cs="宋体"/>
          <w:b/>
          <w:bCs/>
          <w:szCs w:val="21"/>
        </w:rPr>
        <w:t>1. 评标方法</w:t>
      </w:r>
      <w:bookmarkEnd w:id="17"/>
    </w:p>
    <w:p>
      <w:pPr>
        <w:spacing w:line="360" w:lineRule="auto"/>
        <w:ind w:firstLine="411" w:firstLineChars="196"/>
        <w:rPr>
          <w:rFonts w:ascii="宋体" w:hAnsi="宋体" w:cs="宋体"/>
          <w:szCs w:val="21"/>
          <w:highlight w:val="green"/>
        </w:rPr>
      </w:pPr>
      <w:r>
        <w:rPr>
          <w:rFonts w:hint="eastAsia" w:ascii="宋体" w:hAnsi="宋体" w:cs="宋体"/>
          <w:szCs w:val="21"/>
        </w:rPr>
        <w:t>本次评标采用综合评估法。评标委员会对满足招标文件实质性要求的投标文件，按照本章第 2.2 款规定的评分标准进行打分，并按得分由高到低顺序推荐中标候选人，或根据招标人授权直接确定中标人，但投标报价低于其成本的除外。综合评分相等时，以投标报价低的优先； 投标报价也相等的，以技术得分高的优先；如果技术得分也相等，按照评标办法前附表的规定确定中标候选人顺序。</w:t>
      </w:r>
    </w:p>
    <w:p>
      <w:pPr>
        <w:spacing w:line="360" w:lineRule="auto"/>
        <w:ind w:firstLine="413" w:firstLineChars="196"/>
        <w:rPr>
          <w:rFonts w:ascii="宋体" w:hAnsi="宋体" w:cs="宋体"/>
          <w:b/>
          <w:bCs/>
          <w:szCs w:val="21"/>
        </w:rPr>
      </w:pPr>
      <w:r>
        <w:rPr>
          <w:rFonts w:hint="eastAsia" w:ascii="宋体" w:hAnsi="宋体" w:cs="宋体"/>
          <w:b/>
          <w:bCs/>
          <w:szCs w:val="21"/>
        </w:rPr>
        <w:t>2. 评审标准</w:t>
      </w:r>
    </w:p>
    <w:p>
      <w:pPr>
        <w:spacing w:line="360" w:lineRule="auto"/>
        <w:ind w:firstLine="411" w:firstLineChars="196"/>
        <w:rPr>
          <w:rFonts w:ascii="宋体" w:hAnsi="宋体" w:cs="宋体"/>
          <w:szCs w:val="21"/>
        </w:rPr>
      </w:pPr>
      <w:r>
        <w:rPr>
          <w:rFonts w:hint="eastAsia" w:ascii="宋体" w:hAnsi="宋体" w:cs="宋体"/>
          <w:szCs w:val="21"/>
        </w:rPr>
        <w:t>2.1 初步评审标准</w:t>
      </w:r>
    </w:p>
    <w:p>
      <w:pPr>
        <w:spacing w:line="360" w:lineRule="auto"/>
        <w:ind w:firstLine="411" w:firstLineChars="196"/>
        <w:rPr>
          <w:rFonts w:ascii="宋体" w:hAnsi="宋体" w:cs="宋体"/>
          <w:szCs w:val="21"/>
        </w:rPr>
      </w:pPr>
      <w:r>
        <w:rPr>
          <w:rFonts w:hint="eastAsia" w:ascii="宋体" w:hAnsi="宋体" w:cs="宋体"/>
          <w:szCs w:val="21"/>
        </w:rPr>
        <w:t>2.1.1 形式评审标准：见评标办法前附表。</w:t>
      </w:r>
    </w:p>
    <w:p>
      <w:pPr>
        <w:spacing w:line="360" w:lineRule="auto"/>
        <w:ind w:firstLine="411" w:firstLineChars="196"/>
        <w:rPr>
          <w:rFonts w:ascii="宋体" w:hAnsi="宋体" w:cs="宋体"/>
          <w:szCs w:val="21"/>
        </w:rPr>
      </w:pPr>
      <w:r>
        <w:rPr>
          <w:rFonts w:hint="eastAsia" w:ascii="宋体" w:hAnsi="宋体" w:cs="宋体"/>
          <w:szCs w:val="21"/>
        </w:rPr>
        <w:t>2.1.2 资格评审标准：见评标办法前附表。</w:t>
      </w:r>
    </w:p>
    <w:p>
      <w:pPr>
        <w:spacing w:line="360" w:lineRule="auto"/>
        <w:ind w:firstLine="411" w:firstLineChars="196"/>
        <w:rPr>
          <w:rFonts w:ascii="宋体" w:hAnsi="宋体" w:cs="宋体"/>
          <w:szCs w:val="21"/>
        </w:rPr>
      </w:pPr>
      <w:r>
        <w:rPr>
          <w:rFonts w:hint="eastAsia" w:ascii="宋体" w:hAnsi="宋体" w:cs="宋体"/>
          <w:szCs w:val="21"/>
        </w:rPr>
        <w:t>2.1.3 响应性评审标准：见评标办法前附表。</w:t>
      </w:r>
    </w:p>
    <w:p>
      <w:pPr>
        <w:spacing w:line="360" w:lineRule="auto"/>
        <w:ind w:firstLine="411" w:firstLineChars="196"/>
        <w:rPr>
          <w:rFonts w:ascii="宋体" w:hAnsi="宋体" w:cs="宋体"/>
          <w:szCs w:val="21"/>
        </w:rPr>
      </w:pPr>
      <w:r>
        <w:rPr>
          <w:rFonts w:hint="eastAsia" w:ascii="宋体" w:hAnsi="宋体" w:cs="宋体"/>
          <w:szCs w:val="21"/>
        </w:rPr>
        <w:t>2.2 分值构成与评分标准</w:t>
      </w:r>
    </w:p>
    <w:p>
      <w:pPr>
        <w:spacing w:line="360" w:lineRule="auto"/>
        <w:ind w:firstLine="411" w:firstLineChars="196"/>
        <w:rPr>
          <w:rFonts w:ascii="宋体" w:hAnsi="宋体" w:cs="宋体"/>
          <w:szCs w:val="21"/>
        </w:rPr>
      </w:pPr>
      <w:r>
        <w:rPr>
          <w:rFonts w:hint="eastAsia" w:ascii="宋体" w:hAnsi="宋体" w:cs="宋体"/>
          <w:szCs w:val="21"/>
        </w:rPr>
        <w:t>2.2.1 分值构成</w:t>
      </w:r>
    </w:p>
    <w:p>
      <w:pPr>
        <w:spacing w:line="360" w:lineRule="auto"/>
        <w:ind w:firstLine="411" w:firstLineChars="196"/>
        <w:rPr>
          <w:rFonts w:ascii="宋体" w:hAnsi="宋体" w:cs="宋体"/>
          <w:szCs w:val="21"/>
        </w:rPr>
      </w:pPr>
      <w:r>
        <w:rPr>
          <w:rFonts w:hint="eastAsia" w:ascii="宋体" w:hAnsi="宋体" w:cs="宋体"/>
          <w:szCs w:val="21"/>
        </w:rPr>
        <w:t>（1）商务部分：见评标办法前附表；</w:t>
      </w:r>
    </w:p>
    <w:p>
      <w:pPr>
        <w:spacing w:line="360" w:lineRule="auto"/>
        <w:ind w:firstLine="411" w:firstLineChars="196"/>
        <w:rPr>
          <w:rFonts w:ascii="宋体" w:hAnsi="宋体" w:cs="宋体"/>
          <w:szCs w:val="21"/>
        </w:rPr>
      </w:pPr>
      <w:r>
        <w:rPr>
          <w:rFonts w:hint="eastAsia" w:ascii="宋体" w:hAnsi="宋体" w:cs="宋体"/>
          <w:szCs w:val="21"/>
        </w:rPr>
        <w:t>（2）技术部分：见评标办法前附表；</w:t>
      </w:r>
    </w:p>
    <w:p>
      <w:pPr>
        <w:spacing w:line="360" w:lineRule="auto"/>
        <w:ind w:firstLine="411" w:firstLineChars="196"/>
        <w:rPr>
          <w:rFonts w:ascii="宋体" w:hAnsi="宋体" w:cs="宋体"/>
          <w:szCs w:val="21"/>
        </w:rPr>
      </w:pPr>
      <w:r>
        <w:rPr>
          <w:rFonts w:hint="eastAsia" w:ascii="宋体" w:hAnsi="宋体" w:cs="宋体"/>
          <w:szCs w:val="21"/>
        </w:rPr>
        <w:t>2.2.2 评标基准价计算 评标基准价计算方法：见评标办法前附表。</w:t>
      </w:r>
    </w:p>
    <w:p>
      <w:pPr>
        <w:spacing w:line="360" w:lineRule="auto"/>
        <w:ind w:firstLine="411" w:firstLineChars="196"/>
        <w:rPr>
          <w:rFonts w:ascii="宋体" w:hAnsi="宋体" w:cs="宋体"/>
          <w:szCs w:val="21"/>
        </w:rPr>
      </w:pPr>
      <w:r>
        <w:rPr>
          <w:rFonts w:hint="eastAsia" w:ascii="宋体" w:hAnsi="宋体" w:cs="宋体"/>
          <w:szCs w:val="21"/>
        </w:rPr>
        <w:t>2.2.3 投标报价的偏差率计算 投标报价的偏差率计算公式：见评标办法前附表。</w:t>
      </w:r>
    </w:p>
    <w:p>
      <w:pPr>
        <w:spacing w:line="360" w:lineRule="auto"/>
        <w:ind w:firstLine="411" w:firstLineChars="196"/>
        <w:rPr>
          <w:rFonts w:ascii="宋体" w:hAnsi="宋体" w:cs="宋体"/>
          <w:szCs w:val="21"/>
        </w:rPr>
      </w:pPr>
      <w:r>
        <w:rPr>
          <w:rFonts w:hint="eastAsia" w:ascii="宋体" w:hAnsi="宋体" w:cs="宋体"/>
          <w:szCs w:val="21"/>
        </w:rPr>
        <w:t>2.2.4 评分标准</w:t>
      </w:r>
    </w:p>
    <w:p>
      <w:pPr>
        <w:spacing w:line="360" w:lineRule="auto"/>
        <w:ind w:firstLine="411" w:firstLineChars="196"/>
        <w:rPr>
          <w:rFonts w:ascii="宋体" w:hAnsi="宋体" w:cs="宋体"/>
          <w:szCs w:val="21"/>
        </w:rPr>
      </w:pPr>
      <w:r>
        <w:rPr>
          <w:rFonts w:hint="eastAsia" w:ascii="宋体" w:hAnsi="宋体" w:cs="宋体"/>
          <w:szCs w:val="21"/>
        </w:rPr>
        <w:t>（1）商务评分标准：见评标办法前附表；</w:t>
      </w:r>
    </w:p>
    <w:p>
      <w:pPr>
        <w:spacing w:line="360" w:lineRule="auto"/>
        <w:ind w:firstLine="411" w:firstLineChars="196"/>
        <w:rPr>
          <w:rFonts w:ascii="宋体" w:hAnsi="宋体" w:cs="宋体"/>
          <w:szCs w:val="21"/>
        </w:rPr>
      </w:pPr>
      <w:r>
        <w:rPr>
          <w:rFonts w:hint="eastAsia" w:ascii="宋体" w:hAnsi="宋体" w:cs="宋体"/>
          <w:szCs w:val="21"/>
        </w:rPr>
        <w:t>（2）技术评分标准：见评标办法前附表；</w:t>
      </w:r>
    </w:p>
    <w:p>
      <w:pPr>
        <w:spacing w:line="360" w:lineRule="auto"/>
        <w:ind w:firstLine="413" w:firstLineChars="196"/>
        <w:rPr>
          <w:rFonts w:ascii="宋体" w:hAnsi="宋体" w:cs="宋体"/>
          <w:b/>
          <w:bCs/>
          <w:szCs w:val="21"/>
        </w:rPr>
      </w:pPr>
      <w:r>
        <w:rPr>
          <w:rFonts w:hint="eastAsia" w:ascii="宋体" w:hAnsi="宋体" w:cs="宋体"/>
          <w:b/>
          <w:bCs/>
          <w:szCs w:val="21"/>
        </w:rPr>
        <w:t>3. 评标程序</w:t>
      </w:r>
    </w:p>
    <w:p>
      <w:pPr>
        <w:spacing w:line="360" w:lineRule="auto"/>
        <w:ind w:firstLine="411" w:firstLineChars="196"/>
        <w:rPr>
          <w:rFonts w:ascii="宋体" w:hAnsi="宋体" w:cs="宋体"/>
          <w:szCs w:val="21"/>
        </w:rPr>
      </w:pPr>
      <w:r>
        <w:rPr>
          <w:rFonts w:hint="eastAsia" w:ascii="宋体" w:hAnsi="宋体" w:cs="宋体"/>
          <w:szCs w:val="21"/>
        </w:rPr>
        <w:t>3.1 初步评审</w:t>
      </w:r>
    </w:p>
    <w:p>
      <w:pPr>
        <w:spacing w:line="360" w:lineRule="auto"/>
        <w:ind w:firstLine="411" w:firstLineChars="196"/>
        <w:rPr>
          <w:rFonts w:ascii="宋体" w:hAnsi="宋体" w:cs="宋体"/>
          <w:szCs w:val="21"/>
        </w:rPr>
      </w:pPr>
      <w:r>
        <w:rPr>
          <w:rFonts w:hint="eastAsia" w:ascii="宋体" w:hAnsi="宋体" w:cs="宋体"/>
          <w:szCs w:val="21"/>
        </w:rPr>
        <w:t>3.1.1 评标委员会可以要求投标人提交第二章“投标人须知”规定的有关证明和证件的原件，以便核验。评标委员会依据本章第 2.1 款规定的标准对投标文件进行初步评审。有一项不符合评审标准的，评标委员会应当否决其投标。</w:t>
      </w:r>
    </w:p>
    <w:p>
      <w:pPr>
        <w:spacing w:line="360" w:lineRule="auto"/>
        <w:ind w:firstLine="411" w:firstLineChars="196"/>
        <w:rPr>
          <w:rFonts w:ascii="宋体" w:hAnsi="宋体" w:cs="宋体"/>
          <w:szCs w:val="21"/>
        </w:rPr>
      </w:pPr>
      <w:r>
        <w:rPr>
          <w:rFonts w:hint="eastAsia" w:ascii="宋体" w:hAnsi="宋体" w:cs="宋体"/>
          <w:szCs w:val="21"/>
        </w:rPr>
        <w:t>3.1.2 投标人有以下情形之一的，评标委员会应当否决其投标：</w:t>
      </w:r>
    </w:p>
    <w:p>
      <w:pPr>
        <w:spacing w:line="360" w:lineRule="auto"/>
        <w:ind w:firstLine="411" w:firstLineChars="196"/>
        <w:rPr>
          <w:rFonts w:ascii="宋体" w:hAnsi="宋体" w:cs="宋体"/>
          <w:szCs w:val="21"/>
        </w:rPr>
      </w:pPr>
      <w:r>
        <w:rPr>
          <w:rFonts w:hint="eastAsia" w:ascii="宋体" w:hAnsi="宋体" w:cs="宋体"/>
          <w:szCs w:val="21"/>
        </w:rPr>
        <w:t>（1）投标文件没有对招标文件的实质性要求和条件作出响应，或者对招标文件的偏差超出招标文件规定的偏差范围或最高项数；</w:t>
      </w:r>
    </w:p>
    <w:p>
      <w:pPr>
        <w:spacing w:line="360" w:lineRule="auto"/>
        <w:ind w:firstLine="411" w:firstLineChars="196"/>
        <w:rPr>
          <w:rFonts w:ascii="宋体" w:hAnsi="宋体" w:cs="宋体"/>
          <w:szCs w:val="21"/>
        </w:rPr>
      </w:pPr>
      <w:r>
        <w:rPr>
          <w:rFonts w:hint="eastAsia" w:ascii="宋体" w:hAnsi="宋体" w:cs="宋体"/>
          <w:szCs w:val="21"/>
        </w:rPr>
        <w:t>（2）有串通投标、弄虚作假、行贿等违法行为。</w:t>
      </w:r>
    </w:p>
    <w:p>
      <w:pPr>
        <w:spacing w:line="360" w:lineRule="auto"/>
        <w:ind w:firstLine="411" w:firstLineChars="196"/>
        <w:rPr>
          <w:rFonts w:ascii="宋体" w:hAnsi="宋体" w:cs="宋体"/>
          <w:szCs w:val="21"/>
        </w:rPr>
      </w:pPr>
      <w:r>
        <w:rPr>
          <w:rFonts w:hint="eastAsia" w:ascii="宋体" w:hAnsi="宋体" w:cs="宋体"/>
          <w:szCs w:val="21"/>
        </w:rPr>
        <w:t>3.1.3 投标报价有算术错误及其他错误的，评标委员会按以下原则要求投标人对投标报价进行修正，并要求投标人书面澄清确认。投标人拒不澄清确认的，评标委员会应当否决其投标：</w:t>
      </w:r>
    </w:p>
    <w:p>
      <w:pPr>
        <w:spacing w:line="360" w:lineRule="auto"/>
        <w:ind w:firstLine="411" w:firstLineChars="196"/>
        <w:rPr>
          <w:rFonts w:ascii="宋体" w:hAnsi="宋体" w:cs="宋体"/>
          <w:szCs w:val="21"/>
        </w:rPr>
      </w:pPr>
      <w:r>
        <w:rPr>
          <w:rFonts w:hint="eastAsia" w:ascii="宋体" w:hAnsi="宋体" w:cs="宋体"/>
          <w:szCs w:val="21"/>
        </w:rPr>
        <w:t>（1）投标文件中的大写金额与小写金额不一致的，以大写金额为准；</w:t>
      </w:r>
    </w:p>
    <w:p>
      <w:pPr>
        <w:spacing w:line="360" w:lineRule="auto"/>
        <w:ind w:firstLine="411" w:firstLineChars="196"/>
        <w:rPr>
          <w:rFonts w:ascii="宋体" w:hAnsi="宋体" w:cs="宋体"/>
          <w:szCs w:val="21"/>
        </w:rPr>
      </w:pPr>
      <w:r>
        <w:rPr>
          <w:rFonts w:hint="eastAsia" w:ascii="宋体" w:hAnsi="宋体" w:cs="宋体"/>
          <w:szCs w:val="21"/>
        </w:rPr>
        <w:t>（2）总价金额与单价金额不一致的，以单价金额为准，但单价金额小数点有明显错误的除外；</w:t>
      </w:r>
    </w:p>
    <w:p>
      <w:pPr>
        <w:spacing w:line="360" w:lineRule="auto"/>
        <w:ind w:firstLine="411" w:firstLineChars="196"/>
        <w:rPr>
          <w:rFonts w:ascii="宋体" w:hAnsi="宋体" w:cs="宋体"/>
          <w:szCs w:val="21"/>
        </w:rPr>
      </w:pPr>
      <w:r>
        <w:rPr>
          <w:rFonts w:hint="eastAsia" w:ascii="宋体" w:hAnsi="宋体" w:cs="宋体"/>
          <w:szCs w:val="21"/>
        </w:rPr>
        <w:t>（3）投标报价为各分项报价金额之和，投标报价与分项报价的合价不一致的，应以各分项合价累计数为准，修正投标报价；</w:t>
      </w:r>
    </w:p>
    <w:p>
      <w:pPr>
        <w:spacing w:line="360" w:lineRule="auto"/>
        <w:ind w:firstLine="411" w:firstLineChars="196"/>
        <w:rPr>
          <w:rFonts w:ascii="宋体" w:hAnsi="宋体" w:cs="宋体"/>
          <w:szCs w:val="21"/>
        </w:rPr>
      </w:pPr>
      <w:r>
        <w:rPr>
          <w:rFonts w:hint="eastAsia" w:ascii="宋体" w:hAnsi="宋体" w:cs="宋体"/>
          <w:szCs w:val="21"/>
        </w:rPr>
        <w:t>（4）如果分项报价中存在缺漏项，则视为缺漏项价格已包含在其他分项报价之中。</w:t>
      </w:r>
    </w:p>
    <w:p>
      <w:pPr>
        <w:spacing w:line="360" w:lineRule="auto"/>
        <w:ind w:firstLine="411" w:firstLineChars="196"/>
        <w:rPr>
          <w:rFonts w:ascii="宋体" w:hAnsi="宋体" w:cs="宋体"/>
          <w:szCs w:val="21"/>
        </w:rPr>
      </w:pPr>
      <w:r>
        <w:rPr>
          <w:rFonts w:hint="eastAsia" w:ascii="宋体" w:hAnsi="宋体" w:cs="宋体"/>
          <w:szCs w:val="21"/>
        </w:rPr>
        <w:t>3.2 详细评审</w:t>
      </w:r>
    </w:p>
    <w:p>
      <w:pPr>
        <w:spacing w:line="360" w:lineRule="auto"/>
        <w:ind w:firstLine="411" w:firstLineChars="196"/>
        <w:rPr>
          <w:rFonts w:ascii="宋体" w:hAnsi="宋体" w:cs="宋体"/>
          <w:szCs w:val="21"/>
        </w:rPr>
      </w:pPr>
      <w:r>
        <w:rPr>
          <w:rFonts w:hint="eastAsia" w:ascii="宋体" w:hAnsi="宋体" w:cs="宋体"/>
          <w:szCs w:val="21"/>
        </w:rPr>
        <w:t>3.2.1 评标委员会按本章第 2.2 款规定的量化因素和分值进行打分，并计算出综合评估得分。</w:t>
      </w:r>
    </w:p>
    <w:p>
      <w:pPr>
        <w:spacing w:line="360" w:lineRule="auto"/>
        <w:ind w:firstLine="411" w:firstLineChars="196"/>
        <w:rPr>
          <w:rFonts w:ascii="宋体" w:hAnsi="宋体" w:cs="宋体"/>
          <w:szCs w:val="21"/>
        </w:rPr>
      </w:pPr>
      <w:r>
        <w:rPr>
          <w:rFonts w:hint="eastAsia" w:ascii="宋体" w:hAnsi="宋体" w:cs="宋体"/>
          <w:szCs w:val="21"/>
        </w:rPr>
        <w:t>（1）按本章第 2.2.4（1）目规定的评审因素和分值对商务部分计算出得分 A；</w:t>
      </w:r>
    </w:p>
    <w:p>
      <w:pPr>
        <w:spacing w:line="360" w:lineRule="auto"/>
        <w:ind w:firstLine="411" w:firstLineChars="196"/>
        <w:rPr>
          <w:rFonts w:ascii="宋体" w:hAnsi="宋体" w:cs="宋体"/>
          <w:szCs w:val="21"/>
        </w:rPr>
      </w:pPr>
      <w:r>
        <w:rPr>
          <w:rFonts w:hint="eastAsia" w:ascii="宋体" w:hAnsi="宋体" w:cs="宋体"/>
          <w:szCs w:val="21"/>
        </w:rPr>
        <w:t>（2）按本章第 2.2.4（2）目规定的评审因素和分值对技术部分计算出得分 B；</w:t>
      </w:r>
    </w:p>
    <w:p>
      <w:pPr>
        <w:spacing w:line="360" w:lineRule="auto"/>
        <w:ind w:firstLine="411" w:firstLineChars="196"/>
        <w:rPr>
          <w:rFonts w:ascii="宋体" w:hAnsi="宋体" w:cs="宋体"/>
          <w:szCs w:val="21"/>
        </w:rPr>
      </w:pPr>
      <w:r>
        <w:rPr>
          <w:rFonts w:hint="eastAsia" w:ascii="宋体" w:hAnsi="宋体" w:cs="宋体"/>
          <w:szCs w:val="21"/>
        </w:rPr>
        <w:t>3.2.2 评分分值计算保留小数点后两位，小数点后第三位“四舍五入”。</w:t>
      </w:r>
    </w:p>
    <w:p>
      <w:pPr>
        <w:spacing w:line="360" w:lineRule="auto"/>
        <w:ind w:firstLine="411" w:firstLineChars="196"/>
        <w:rPr>
          <w:rFonts w:ascii="宋体" w:hAnsi="宋体" w:cs="宋体"/>
          <w:szCs w:val="21"/>
        </w:rPr>
      </w:pPr>
      <w:r>
        <w:rPr>
          <w:rFonts w:hint="eastAsia" w:ascii="宋体" w:hAnsi="宋体" w:cs="宋体"/>
          <w:szCs w:val="21"/>
        </w:rPr>
        <w:t>3.2.3 投标人得分=A+B。</w:t>
      </w:r>
    </w:p>
    <w:p>
      <w:pPr>
        <w:spacing w:line="360" w:lineRule="auto"/>
        <w:ind w:firstLine="411" w:firstLineChars="196"/>
        <w:rPr>
          <w:rFonts w:ascii="宋体" w:hAnsi="宋体" w:cs="宋体"/>
          <w:szCs w:val="21"/>
        </w:rPr>
      </w:pPr>
      <w:r>
        <w:rPr>
          <w:rFonts w:hint="eastAsia" w:ascii="宋体" w:hAnsi="宋体" w:cs="宋体"/>
          <w:szCs w:val="21"/>
        </w:rPr>
        <w:t>3.2.4 评标委员会发现投标人的报价明显低于其他投标报价，使得其投标报价可能低于其个别成本的，应当要求该投标人作出书面说明并提供相应的证明材料。投标人不能合理说明或者 不能提供相应证明材料的，评标委员会应当认定该投标人以低于成本报价竞标，并否决其投标。</w:t>
      </w:r>
    </w:p>
    <w:p>
      <w:pPr>
        <w:spacing w:line="360" w:lineRule="auto"/>
        <w:ind w:firstLine="411" w:firstLineChars="196"/>
        <w:rPr>
          <w:rFonts w:ascii="宋体" w:hAnsi="宋体" w:cs="宋体"/>
          <w:szCs w:val="21"/>
        </w:rPr>
      </w:pPr>
      <w:r>
        <w:rPr>
          <w:rFonts w:hint="eastAsia" w:ascii="宋体" w:hAnsi="宋体" w:cs="宋体"/>
          <w:szCs w:val="21"/>
        </w:rPr>
        <w:t>3.3 投标文件的澄清</w:t>
      </w:r>
    </w:p>
    <w:p>
      <w:pPr>
        <w:spacing w:line="360" w:lineRule="auto"/>
        <w:ind w:firstLine="411" w:firstLineChars="196"/>
        <w:rPr>
          <w:rFonts w:ascii="宋体" w:hAnsi="宋体" w:cs="宋体"/>
          <w:szCs w:val="21"/>
        </w:rPr>
      </w:pPr>
      <w:r>
        <w:rPr>
          <w:rFonts w:hint="eastAsia" w:ascii="宋体" w:hAnsi="宋体" w:cs="宋体"/>
          <w:szCs w:val="21"/>
        </w:rPr>
        <w:t>3.3.1 在评标过程中，评标委员会可以书面形式要求投标人对投标文件中含义不明确、对同类问题表述不一致或者有明显文字和计算错误的内容作必要的澄清、说明或补正。澄清、说明 或补正应以书面方式进行。评标委员会不接受投标人主动提出的澄清、说明或补正。</w:t>
      </w:r>
    </w:p>
    <w:p>
      <w:pPr>
        <w:spacing w:line="360" w:lineRule="auto"/>
        <w:ind w:firstLine="411" w:firstLineChars="196"/>
        <w:rPr>
          <w:rFonts w:ascii="宋体" w:hAnsi="宋体" w:cs="宋体"/>
          <w:szCs w:val="21"/>
        </w:rPr>
      </w:pPr>
      <w:r>
        <w:rPr>
          <w:rFonts w:hint="eastAsia" w:ascii="宋体" w:hAnsi="宋体" w:cs="宋体"/>
          <w:szCs w:val="21"/>
        </w:rPr>
        <w:t>3.3.2 澄清、说明或补正不得超出投标文件的范围且不得改变投标文件的实质性内容，并构成投标文件的组成部分。</w:t>
      </w:r>
    </w:p>
    <w:p>
      <w:pPr>
        <w:spacing w:line="360" w:lineRule="auto"/>
        <w:ind w:firstLine="411" w:firstLineChars="196"/>
        <w:rPr>
          <w:rFonts w:ascii="宋体" w:hAnsi="宋体" w:cs="宋体"/>
          <w:szCs w:val="21"/>
        </w:rPr>
      </w:pPr>
      <w:r>
        <w:rPr>
          <w:rFonts w:hint="eastAsia" w:ascii="宋体" w:hAnsi="宋体" w:cs="宋体"/>
          <w:szCs w:val="21"/>
        </w:rPr>
        <w:t>3.3.3 评标委员会对投标人提交的澄清、说明或补正有疑问的，可以要求投标人进一步澄清、说明或补正，直至满足评标委员会的要求。</w:t>
      </w:r>
    </w:p>
    <w:p>
      <w:pPr>
        <w:spacing w:line="360" w:lineRule="auto"/>
        <w:ind w:firstLine="411" w:firstLineChars="196"/>
        <w:rPr>
          <w:rFonts w:ascii="宋体" w:hAnsi="宋体" w:cs="宋体"/>
          <w:szCs w:val="21"/>
        </w:rPr>
      </w:pPr>
      <w:r>
        <w:rPr>
          <w:rFonts w:hint="eastAsia" w:ascii="宋体" w:hAnsi="宋体" w:cs="宋体"/>
          <w:szCs w:val="21"/>
        </w:rPr>
        <w:t>3.4 评标结果</w:t>
      </w:r>
    </w:p>
    <w:p>
      <w:pPr>
        <w:spacing w:line="360" w:lineRule="auto"/>
        <w:ind w:firstLine="411" w:firstLineChars="196"/>
        <w:rPr>
          <w:rFonts w:ascii="宋体" w:hAnsi="宋体" w:cs="宋体"/>
          <w:szCs w:val="21"/>
        </w:rPr>
      </w:pPr>
      <w:r>
        <w:rPr>
          <w:rFonts w:hint="eastAsia" w:ascii="宋体" w:hAnsi="宋体" w:cs="宋体"/>
          <w:szCs w:val="21"/>
        </w:rPr>
        <w:t>3.4.1 除第二章“投标人须知”前附表授权直接确定中标人外，评标委员会按照得分由高到低的顺序推荐中标候选人，并标明排序。</w:t>
      </w:r>
    </w:p>
    <w:p>
      <w:pPr>
        <w:spacing w:line="360" w:lineRule="auto"/>
        <w:ind w:firstLine="411" w:firstLineChars="196"/>
        <w:rPr>
          <w:rFonts w:ascii="宋体" w:hAnsi="宋体" w:cs="宋体"/>
          <w:sz w:val="24"/>
        </w:rPr>
      </w:pPr>
      <w:r>
        <w:rPr>
          <w:rFonts w:hint="eastAsia" w:ascii="宋体" w:hAnsi="宋体" w:cs="宋体"/>
          <w:szCs w:val="21"/>
        </w:rPr>
        <w:t>3.4.2 评标委员会完成评标后，应当向招标人提交书面评标报告和中标候选人名单。</w:t>
      </w:r>
    </w:p>
    <w:p>
      <w:pPr>
        <w:spacing w:line="339" w:lineRule="exact"/>
        <w:jc w:val="left"/>
        <w:rPr>
          <w:sz w:val="24"/>
        </w:rPr>
      </w:pPr>
    </w:p>
    <w:p>
      <w:pPr>
        <w:spacing w:line="200" w:lineRule="exact"/>
        <w:jc w:val="left"/>
        <w:rPr>
          <w:sz w:val="24"/>
        </w:rPr>
      </w:pPr>
    </w:p>
    <w:p>
      <w:pPr>
        <w:pStyle w:val="3"/>
        <w:spacing w:before="0" w:after="0" w:line="415" w:lineRule="auto"/>
        <w:jc w:val="center"/>
        <w:rPr>
          <w:rFonts w:ascii="宋体" w:hAnsi="宋体"/>
        </w:rPr>
      </w:pPr>
      <w:bookmarkStart w:id="18" w:name="page49"/>
      <w:bookmarkEnd w:id="18"/>
      <w:r>
        <w:rPr>
          <w:sz w:val="24"/>
        </w:rPr>
        <w:br w:type="page"/>
      </w:r>
      <w:bookmarkStart w:id="19" w:name="_Toc31791884"/>
      <w:r>
        <w:rPr>
          <w:rFonts w:hint="eastAsia" w:ascii="宋体" w:hAnsi="宋体"/>
        </w:rPr>
        <w:t>第四章 合同条款及格式</w:t>
      </w:r>
      <w:bookmarkEnd w:id="19"/>
    </w:p>
    <w:p>
      <w:pPr>
        <w:pStyle w:val="4"/>
        <w:jc w:val="center"/>
        <w:rPr>
          <w:rFonts w:hint="eastAsia" w:ascii="宋体" w:hAnsi="宋体"/>
          <w:sz w:val="28"/>
          <w:szCs w:val="28"/>
        </w:rPr>
      </w:pPr>
      <w:bookmarkStart w:id="20" w:name="_Toc31791885"/>
      <w:bookmarkStart w:id="21" w:name="_Toc503445751"/>
      <w:r>
        <w:rPr>
          <w:rFonts w:hint="eastAsia" w:ascii="宋体" w:hAnsi="宋体"/>
          <w:sz w:val="28"/>
          <w:szCs w:val="28"/>
        </w:rPr>
        <w:t>第一节 通用合同条款</w:t>
      </w:r>
      <w:bookmarkEnd w:id="20"/>
      <w:bookmarkEnd w:id="21"/>
    </w:p>
    <w:p/>
    <w:p>
      <w:pPr>
        <w:pStyle w:val="5"/>
        <w:keepNext/>
        <w:keepLines/>
        <w:pageBreakBefore w:val="0"/>
        <w:widowControl/>
        <w:kinsoku/>
        <w:wordWrap/>
        <w:overflowPunct/>
        <w:topLinePunct w:val="0"/>
        <w:autoSpaceDE/>
        <w:autoSpaceDN/>
        <w:bidi w:val="0"/>
        <w:adjustRightInd/>
        <w:snapToGrid/>
        <w:spacing w:line="15" w:lineRule="auto"/>
        <w:textAlignment w:val="auto"/>
        <w:rPr>
          <w:sz w:val="24"/>
          <w:szCs w:val="24"/>
        </w:rPr>
      </w:pPr>
      <w:r>
        <w:rPr>
          <w:rFonts w:hint="eastAsia"/>
          <w:sz w:val="24"/>
          <w:szCs w:val="24"/>
        </w:rPr>
        <w:t>1. 一般约定</w:t>
      </w:r>
    </w:p>
    <w:p>
      <w:pPr>
        <w:spacing w:line="360" w:lineRule="auto"/>
        <w:ind w:firstLine="422" w:firstLineChars="200"/>
        <w:rPr>
          <w:rFonts w:ascii="宋体" w:hAnsi="宋体" w:cs="宋体"/>
          <w:b/>
          <w:bCs/>
          <w:szCs w:val="21"/>
        </w:rPr>
      </w:pPr>
      <w:r>
        <w:rPr>
          <w:rFonts w:hint="eastAsia" w:ascii="宋体" w:hAnsi="宋体" w:cs="宋体"/>
          <w:b/>
          <w:bCs/>
          <w:szCs w:val="21"/>
        </w:rPr>
        <w:t>1.1 词语定义</w:t>
      </w:r>
    </w:p>
    <w:p>
      <w:pPr>
        <w:spacing w:line="360" w:lineRule="auto"/>
        <w:ind w:firstLine="411" w:firstLineChars="196"/>
        <w:rPr>
          <w:rFonts w:ascii="宋体" w:hAnsi="宋体" w:cs="宋体"/>
          <w:szCs w:val="21"/>
        </w:rPr>
      </w:pPr>
      <w:r>
        <w:rPr>
          <w:rFonts w:hint="eastAsia" w:ascii="宋体" w:hAnsi="宋体" w:cs="宋体"/>
          <w:szCs w:val="21"/>
        </w:rPr>
        <w:t>除专用合同条款另有约定外，合同中的下列词语应具有本款所赋予的含义。</w:t>
      </w:r>
    </w:p>
    <w:p>
      <w:pPr>
        <w:spacing w:line="360" w:lineRule="auto"/>
        <w:ind w:firstLine="411" w:firstLineChars="196"/>
        <w:rPr>
          <w:rFonts w:ascii="宋体" w:hAnsi="宋体" w:cs="宋体"/>
          <w:szCs w:val="21"/>
        </w:rPr>
      </w:pPr>
      <w:r>
        <w:rPr>
          <w:rFonts w:hint="eastAsia" w:ascii="宋体" w:hAnsi="宋体" w:cs="宋体"/>
          <w:szCs w:val="21"/>
        </w:rPr>
        <w:t>1.1.1 合同</w:t>
      </w:r>
    </w:p>
    <w:p>
      <w:pPr>
        <w:spacing w:line="360" w:lineRule="auto"/>
        <w:ind w:firstLine="411" w:firstLineChars="196"/>
        <w:rPr>
          <w:rFonts w:ascii="宋体" w:hAnsi="宋体" w:cs="宋体"/>
          <w:szCs w:val="21"/>
        </w:rPr>
      </w:pPr>
      <w:r>
        <w:rPr>
          <w:rFonts w:hint="eastAsia" w:ascii="宋体" w:hAnsi="宋体" w:cs="宋体"/>
          <w:szCs w:val="21"/>
        </w:rPr>
        <w:t>1.1.1.1 合同文件（或称合同）：指合同协议书、中标通知书、投标函、商务和技术偏差表、专用合同条款、通用合同条款、供货要求、分项报价表、中标设备技术性能指标的详细描述、 技术服务和质保期服务计划，以及其他构成合同组成部分的文件。</w:t>
      </w:r>
    </w:p>
    <w:p>
      <w:pPr>
        <w:spacing w:line="360" w:lineRule="auto"/>
        <w:ind w:firstLine="411" w:firstLineChars="196"/>
        <w:rPr>
          <w:rFonts w:ascii="宋体" w:hAnsi="宋体" w:cs="宋体"/>
          <w:szCs w:val="21"/>
        </w:rPr>
      </w:pPr>
      <w:r>
        <w:rPr>
          <w:rFonts w:hint="eastAsia" w:ascii="宋体" w:hAnsi="宋体" w:cs="宋体"/>
          <w:szCs w:val="21"/>
        </w:rPr>
        <w:t>1.1.1.2 合同协议书：指买方和卖方共同签署的合同协议书。</w:t>
      </w:r>
    </w:p>
    <w:p>
      <w:pPr>
        <w:spacing w:line="360" w:lineRule="auto"/>
        <w:ind w:firstLine="411" w:firstLineChars="196"/>
        <w:rPr>
          <w:rFonts w:ascii="宋体" w:hAnsi="宋体" w:cs="宋体"/>
          <w:szCs w:val="21"/>
        </w:rPr>
      </w:pPr>
      <w:r>
        <w:rPr>
          <w:rFonts w:hint="eastAsia" w:ascii="宋体" w:hAnsi="宋体" w:cs="宋体"/>
          <w:szCs w:val="21"/>
        </w:rPr>
        <w:t>1.1.1.3 中标通知书：指买方通知卖方中标的函件。</w:t>
      </w:r>
    </w:p>
    <w:p>
      <w:pPr>
        <w:spacing w:line="360" w:lineRule="auto"/>
        <w:ind w:firstLine="411" w:firstLineChars="196"/>
        <w:rPr>
          <w:rFonts w:ascii="宋体" w:hAnsi="宋体" w:cs="宋体"/>
          <w:szCs w:val="21"/>
        </w:rPr>
      </w:pPr>
      <w:r>
        <w:rPr>
          <w:rFonts w:hint="eastAsia" w:ascii="宋体" w:hAnsi="宋体" w:cs="宋体"/>
          <w:szCs w:val="21"/>
        </w:rPr>
        <w:t>1.1.1.4 投标函：指由卖方填写并签署的，名为“投标函”的函件。</w:t>
      </w:r>
    </w:p>
    <w:p>
      <w:pPr>
        <w:spacing w:line="360" w:lineRule="auto"/>
        <w:ind w:firstLine="411" w:firstLineChars="196"/>
        <w:rPr>
          <w:rFonts w:ascii="宋体" w:hAnsi="宋体" w:cs="宋体"/>
          <w:szCs w:val="21"/>
        </w:rPr>
      </w:pPr>
      <w:r>
        <w:rPr>
          <w:rFonts w:hint="eastAsia" w:ascii="宋体" w:hAnsi="宋体" w:cs="宋体"/>
          <w:szCs w:val="21"/>
        </w:rPr>
        <w:t>1.1.1.5 商务和技术偏差表：指卖方投标文件中的商务和技术偏差表。</w:t>
      </w:r>
    </w:p>
    <w:p>
      <w:pPr>
        <w:spacing w:line="360" w:lineRule="auto"/>
        <w:ind w:firstLine="411" w:firstLineChars="196"/>
        <w:rPr>
          <w:rFonts w:ascii="宋体" w:hAnsi="宋体" w:cs="宋体"/>
          <w:szCs w:val="21"/>
        </w:rPr>
      </w:pPr>
      <w:r>
        <w:rPr>
          <w:rFonts w:hint="eastAsia" w:ascii="宋体" w:hAnsi="宋体" w:cs="宋体"/>
          <w:szCs w:val="21"/>
        </w:rPr>
        <w:t>1.1.1.6 供货要求：指合同文件中名为“供货要求”的文件。</w:t>
      </w:r>
    </w:p>
    <w:p>
      <w:pPr>
        <w:spacing w:line="360" w:lineRule="auto"/>
        <w:ind w:firstLine="411" w:firstLineChars="196"/>
        <w:rPr>
          <w:rFonts w:ascii="宋体" w:hAnsi="宋体" w:cs="宋体"/>
          <w:szCs w:val="21"/>
        </w:rPr>
      </w:pPr>
      <w:r>
        <w:rPr>
          <w:rFonts w:hint="eastAsia" w:ascii="宋体" w:hAnsi="宋体" w:cs="宋体"/>
          <w:szCs w:val="21"/>
        </w:rPr>
        <w:t>1.1.1.7 中标设备技术性能指标的详细描述：指卖方投标文件中的投标设备技术性能指标的 详细描述。</w:t>
      </w:r>
    </w:p>
    <w:p>
      <w:pPr>
        <w:spacing w:line="360" w:lineRule="auto"/>
        <w:ind w:firstLine="411" w:firstLineChars="196"/>
        <w:rPr>
          <w:rFonts w:ascii="宋体" w:hAnsi="宋体" w:cs="宋体"/>
          <w:szCs w:val="21"/>
        </w:rPr>
      </w:pPr>
      <w:r>
        <w:rPr>
          <w:rFonts w:hint="eastAsia" w:ascii="宋体" w:hAnsi="宋体" w:cs="宋体"/>
          <w:szCs w:val="21"/>
        </w:rPr>
        <w:t>1.1.1.8 技术服务和质保期服务计划：指卖方投标文件中的技术服务和质保期服务计划。</w:t>
      </w:r>
    </w:p>
    <w:p>
      <w:pPr>
        <w:spacing w:line="360" w:lineRule="auto"/>
        <w:ind w:firstLine="411" w:firstLineChars="196"/>
        <w:rPr>
          <w:rFonts w:ascii="宋体" w:hAnsi="宋体" w:cs="宋体"/>
          <w:szCs w:val="21"/>
        </w:rPr>
      </w:pPr>
      <w:r>
        <w:rPr>
          <w:rFonts w:hint="eastAsia" w:ascii="宋体" w:hAnsi="宋体" w:cs="宋体"/>
          <w:szCs w:val="21"/>
        </w:rPr>
        <w:t>1.1.1.9 分项报价表：指卖方投标文件中的分项报价表。</w:t>
      </w:r>
    </w:p>
    <w:p>
      <w:pPr>
        <w:spacing w:line="360" w:lineRule="auto"/>
        <w:ind w:firstLine="411" w:firstLineChars="196"/>
        <w:rPr>
          <w:rFonts w:ascii="宋体" w:hAnsi="宋体" w:cs="宋体"/>
          <w:szCs w:val="21"/>
        </w:rPr>
      </w:pPr>
      <w:r>
        <w:rPr>
          <w:rFonts w:hint="eastAsia" w:ascii="宋体" w:hAnsi="宋体" w:cs="宋体"/>
          <w:szCs w:val="21"/>
        </w:rPr>
        <w:t>1.1.1.10  其他合同文件：指经合同双方当事人确认构成合同文件的其他文件。</w:t>
      </w:r>
    </w:p>
    <w:p>
      <w:pPr>
        <w:spacing w:line="360" w:lineRule="auto"/>
        <w:ind w:firstLine="411" w:firstLineChars="196"/>
        <w:rPr>
          <w:rFonts w:ascii="宋体" w:hAnsi="宋体" w:cs="宋体"/>
          <w:szCs w:val="21"/>
        </w:rPr>
      </w:pPr>
      <w:r>
        <w:rPr>
          <w:rFonts w:hint="eastAsia" w:ascii="宋体" w:hAnsi="宋体" w:cs="宋体"/>
          <w:szCs w:val="21"/>
        </w:rPr>
        <w:t>1.1.2 合同当事人</w:t>
      </w:r>
    </w:p>
    <w:p>
      <w:pPr>
        <w:spacing w:line="360" w:lineRule="auto"/>
        <w:ind w:firstLine="411" w:firstLineChars="196"/>
        <w:rPr>
          <w:rFonts w:ascii="宋体" w:hAnsi="宋体" w:cs="宋体"/>
          <w:szCs w:val="21"/>
        </w:rPr>
      </w:pPr>
      <w:r>
        <w:rPr>
          <w:rFonts w:hint="eastAsia" w:ascii="宋体" w:hAnsi="宋体" w:cs="宋体"/>
          <w:szCs w:val="21"/>
        </w:rPr>
        <w:t>1.1.2.1 合同当事人：指买方和（或）卖方。</w:t>
      </w:r>
    </w:p>
    <w:p>
      <w:pPr>
        <w:spacing w:line="360" w:lineRule="auto"/>
        <w:ind w:firstLine="411" w:firstLineChars="196"/>
        <w:rPr>
          <w:rFonts w:ascii="宋体" w:hAnsi="宋体" w:cs="宋体"/>
          <w:szCs w:val="21"/>
        </w:rPr>
      </w:pPr>
      <w:r>
        <w:rPr>
          <w:rFonts w:hint="eastAsia" w:ascii="宋体" w:hAnsi="宋体" w:cs="宋体"/>
          <w:szCs w:val="21"/>
        </w:rPr>
        <w:t>1.1.2.2 买方：指与卖方签订合同协议书，购买合同设备和技术服务和质保期服务的当事人，及其合法继承人。</w:t>
      </w:r>
    </w:p>
    <w:p>
      <w:pPr>
        <w:spacing w:line="360" w:lineRule="auto"/>
        <w:ind w:firstLine="411" w:firstLineChars="196"/>
        <w:rPr>
          <w:rFonts w:ascii="宋体" w:hAnsi="宋体" w:cs="宋体"/>
          <w:szCs w:val="21"/>
        </w:rPr>
      </w:pPr>
      <w:r>
        <w:rPr>
          <w:rFonts w:hint="eastAsia" w:ascii="宋体" w:hAnsi="宋体" w:cs="宋体"/>
          <w:szCs w:val="21"/>
        </w:rPr>
        <w:t>1.1.2.3 卖方：指与买方签订合同协议书，提供合同设备和技术服务和质保期服务的当事人，及其合法继承人。</w:t>
      </w:r>
    </w:p>
    <w:p>
      <w:pPr>
        <w:spacing w:line="360" w:lineRule="auto"/>
        <w:ind w:firstLine="411" w:firstLineChars="196"/>
        <w:rPr>
          <w:rFonts w:ascii="宋体" w:hAnsi="宋体" w:cs="宋体"/>
          <w:szCs w:val="21"/>
        </w:rPr>
      </w:pPr>
      <w:r>
        <w:rPr>
          <w:rFonts w:hint="eastAsia" w:ascii="宋体" w:hAnsi="宋体" w:cs="宋体"/>
          <w:szCs w:val="21"/>
        </w:rPr>
        <w:t>1.1.3 合同价格</w:t>
      </w:r>
    </w:p>
    <w:p>
      <w:pPr>
        <w:spacing w:line="360" w:lineRule="auto"/>
        <w:ind w:firstLine="411" w:firstLineChars="196"/>
        <w:rPr>
          <w:rFonts w:ascii="宋体" w:hAnsi="宋体" w:cs="宋体"/>
          <w:szCs w:val="21"/>
        </w:rPr>
      </w:pPr>
      <w:r>
        <w:rPr>
          <w:rFonts w:hint="eastAsia" w:ascii="宋体" w:hAnsi="宋体" w:cs="宋体"/>
          <w:szCs w:val="21"/>
        </w:rPr>
        <w:t>1.1.3.1 签约合同价：是签订合同时合同协议书中写明的合同总金额。</w:t>
      </w:r>
    </w:p>
    <w:p>
      <w:pPr>
        <w:spacing w:line="360" w:lineRule="auto"/>
        <w:ind w:firstLine="411" w:firstLineChars="196"/>
        <w:rPr>
          <w:rFonts w:ascii="宋体" w:hAnsi="宋体" w:cs="宋体"/>
          <w:szCs w:val="21"/>
        </w:rPr>
      </w:pPr>
      <w:r>
        <w:rPr>
          <w:rFonts w:hint="eastAsia" w:ascii="宋体" w:hAnsi="宋体" w:cs="宋体"/>
          <w:szCs w:val="21"/>
        </w:rPr>
        <w:t>1.1.3.2 合同价格：指卖方按合同约定履行了全部合同义务后，买方应付给卖方的金额。</w:t>
      </w:r>
    </w:p>
    <w:p>
      <w:pPr>
        <w:spacing w:line="360" w:lineRule="auto"/>
        <w:ind w:firstLine="411" w:firstLineChars="196"/>
        <w:rPr>
          <w:rFonts w:ascii="宋体" w:hAnsi="宋体" w:cs="宋体"/>
          <w:szCs w:val="21"/>
        </w:rPr>
      </w:pPr>
      <w:r>
        <w:rPr>
          <w:rFonts w:hint="eastAsia" w:ascii="宋体" w:hAnsi="宋体" w:cs="宋体"/>
          <w:szCs w:val="21"/>
        </w:rPr>
        <w:t>1.1.4 合同设备：指卖方按合同约定应向买方提供的设备、装置、备品、备件、易损易耗件、配套使用的软件或其他辅助电子应用程序及技术资料，或其中任何一部分。</w:t>
      </w:r>
    </w:p>
    <w:p>
      <w:pPr>
        <w:spacing w:line="360" w:lineRule="auto"/>
        <w:ind w:firstLine="411" w:firstLineChars="196"/>
        <w:rPr>
          <w:rFonts w:ascii="宋体" w:hAnsi="宋体" w:cs="宋体"/>
          <w:szCs w:val="21"/>
        </w:rPr>
      </w:pPr>
      <w:r>
        <w:rPr>
          <w:rFonts w:hint="eastAsia" w:ascii="宋体" w:hAnsi="宋体" w:cs="宋体"/>
          <w:szCs w:val="21"/>
        </w:rPr>
        <w:t>1.1.5  技术资料：指各种纸质及电子载体的与合同设备的设计、检验、安装、调试、考核、操作、维修以及保养等有关的技术指标、规格、图纸和说明文件。</w:t>
      </w:r>
    </w:p>
    <w:p>
      <w:pPr>
        <w:spacing w:line="360" w:lineRule="auto"/>
        <w:ind w:firstLine="411" w:firstLineChars="196"/>
        <w:rPr>
          <w:rFonts w:ascii="宋体" w:hAnsi="宋体" w:cs="宋体"/>
          <w:szCs w:val="21"/>
        </w:rPr>
      </w:pPr>
      <w:r>
        <w:rPr>
          <w:rFonts w:hint="eastAsia" w:ascii="宋体" w:hAnsi="宋体" w:cs="宋体"/>
          <w:szCs w:val="21"/>
        </w:rPr>
        <w:t>1.1.6 安装：指对合同设备进行的组装、连接以及根据需要将合同设备固定在施工场地内一 定的位置上，使其就位并与相关设备、工程实现连接。</w:t>
      </w:r>
    </w:p>
    <w:p>
      <w:pPr>
        <w:spacing w:line="360" w:lineRule="auto"/>
        <w:ind w:firstLine="411" w:firstLineChars="196"/>
        <w:rPr>
          <w:rFonts w:ascii="宋体" w:hAnsi="宋体" w:cs="宋体"/>
          <w:szCs w:val="21"/>
        </w:rPr>
      </w:pPr>
      <w:r>
        <w:rPr>
          <w:rFonts w:hint="eastAsia" w:ascii="宋体" w:hAnsi="宋体" w:cs="宋体"/>
          <w:szCs w:val="21"/>
        </w:rPr>
        <w:t>1.1.7 调试：指在合同设备安装完成后，对合同设备所进行的调校和测试。</w:t>
      </w:r>
    </w:p>
    <w:p>
      <w:pPr>
        <w:spacing w:line="360" w:lineRule="auto"/>
        <w:ind w:firstLine="411" w:firstLineChars="196"/>
        <w:rPr>
          <w:rFonts w:ascii="宋体" w:hAnsi="宋体" w:cs="宋体"/>
          <w:szCs w:val="21"/>
        </w:rPr>
      </w:pPr>
      <w:r>
        <w:rPr>
          <w:rFonts w:hint="eastAsia" w:ascii="宋体" w:hAnsi="宋体" w:cs="宋体"/>
          <w:szCs w:val="21"/>
        </w:rPr>
        <w:t>1.1.8 考核：指在合同设备调试完成后，对合同设备进行的用于确定其是否达到合同约定的 技术性能考核指标的考核。</w:t>
      </w:r>
    </w:p>
    <w:p>
      <w:pPr>
        <w:spacing w:line="360" w:lineRule="auto"/>
        <w:ind w:firstLine="411" w:firstLineChars="196"/>
        <w:rPr>
          <w:rFonts w:ascii="宋体" w:hAnsi="宋体" w:cs="宋体"/>
          <w:szCs w:val="21"/>
        </w:rPr>
      </w:pPr>
      <w:r>
        <w:rPr>
          <w:rFonts w:hint="eastAsia" w:ascii="宋体" w:hAnsi="宋体" w:cs="宋体"/>
          <w:szCs w:val="21"/>
        </w:rPr>
        <w:t>1.1.9 验收：指合同设备通过考核达到合同约定的技术性能考核指标后，买方作出接受合同 设备的确认。</w:t>
      </w:r>
    </w:p>
    <w:p>
      <w:pPr>
        <w:spacing w:line="360" w:lineRule="auto"/>
        <w:ind w:firstLine="411" w:firstLineChars="196"/>
        <w:rPr>
          <w:rFonts w:ascii="宋体" w:hAnsi="宋体" w:cs="宋体"/>
          <w:szCs w:val="21"/>
        </w:rPr>
      </w:pPr>
      <w:r>
        <w:rPr>
          <w:rFonts w:hint="eastAsia" w:ascii="宋体" w:hAnsi="宋体" w:cs="宋体"/>
          <w:szCs w:val="21"/>
        </w:rPr>
        <w:t>1.1.10 技术服务：指卖方按合同约定，在合同设备验收前，向买方提供的安装、调试服务，或者在由买方负责的安装、调试、考核中对买方进行的技术指导、协助、监督和培训等。</w:t>
      </w:r>
    </w:p>
    <w:p>
      <w:pPr>
        <w:spacing w:line="360" w:lineRule="auto"/>
        <w:ind w:firstLine="411" w:firstLineChars="196"/>
        <w:rPr>
          <w:rFonts w:ascii="宋体" w:hAnsi="宋体" w:cs="宋体"/>
          <w:szCs w:val="21"/>
        </w:rPr>
      </w:pPr>
      <w:r>
        <w:rPr>
          <w:rFonts w:hint="eastAsia" w:ascii="宋体" w:hAnsi="宋体" w:cs="宋体"/>
          <w:szCs w:val="21"/>
        </w:rPr>
        <w:t>1.1.11 质量保证期：指合同设备验收后，卖方按合同约定保证合同设备适当、稳定运行，并负责消除合同设备故障的期限。</w:t>
      </w:r>
    </w:p>
    <w:p>
      <w:pPr>
        <w:spacing w:line="360" w:lineRule="auto"/>
        <w:ind w:firstLine="411" w:firstLineChars="196"/>
        <w:rPr>
          <w:rFonts w:ascii="宋体" w:hAnsi="宋体" w:cs="宋体"/>
          <w:szCs w:val="21"/>
        </w:rPr>
      </w:pPr>
      <w:r>
        <w:rPr>
          <w:rFonts w:hint="eastAsia" w:ascii="宋体" w:hAnsi="宋体" w:cs="宋体"/>
          <w:szCs w:val="21"/>
        </w:rPr>
        <w:t>1.1.12 质保期服务：指在质量保证期内，卖方向买方提供的合同设备维护服务、咨询服务、技术指导、协助以及对出现故障的合同设备进行修理或更换的服务。</w:t>
      </w:r>
    </w:p>
    <w:p>
      <w:pPr>
        <w:spacing w:line="360" w:lineRule="auto"/>
        <w:ind w:firstLine="411" w:firstLineChars="196"/>
        <w:rPr>
          <w:rFonts w:ascii="宋体" w:hAnsi="宋体" w:cs="宋体"/>
          <w:szCs w:val="21"/>
        </w:rPr>
      </w:pPr>
      <w:r>
        <w:rPr>
          <w:rFonts w:hint="eastAsia" w:ascii="宋体" w:hAnsi="宋体" w:cs="宋体"/>
          <w:szCs w:val="21"/>
        </w:rPr>
        <w:t>1.1.13 工程</w:t>
      </w:r>
    </w:p>
    <w:p>
      <w:pPr>
        <w:spacing w:line="360" w:lineRule="auto"/>
        <w:ind w:firstLine="411" w:firstLineChars="196"/>
        <w:rPr>
          <w:rFonts w:ascii="宋体" w:hAnsi="宋体" w:cs="宋体"/>
          <w:szCs w:val="21"/>
        </w:rPr>
      </w:pPr>
      <w:r>
        <w:rPr>
          <w:rFonts w:hint="eastAsia" w:ascii="宋体" w:hAnsi="宋体" w:cs="宋体"/>
          <w:szCs w:val="21"/>
        </w:rPr>
        <w:t>1.1.13.1  工程：指在专用合同条款中指明的，安装运行合同设备的工程。</w:t>
      </w:r>
    </w:p>
    <w:p>
      <w:pPr>
        <w:spacing w:line="360" w:lineRule="auto"/>
        <w:ind w:firstLine="411" w:firstLineChars="196"/>
        <w:rPr>
          <w:rFonts w:ascii="宋体" w:hAnsi="宋体" w:cs="宋体"/>
          <w:szCs w:val="21"/>
        </w:rPr>
      </w:pPr>
      <w:r>
        <w:rPr>
          <w:rFonts w:hint="eastAsia" w:ascii="宋体" w:hAnsi="宋体" w:cs="宋体"/>
          <w:szCs w:val="21"/>
        </w:rPr>
        <w:t>1.1.13.2  施工场地（或称工地、施工现场）：指专用合同条款中指明的工程所在场所。</w:t>
      </w:r>
    </w:p>
    <w:p>
      <w:pPr>
        <w:spacing w:line="360" w:lineRule="auto"/>
        <w:ind w:firstLine="411" w:firstLineChars="196"/>
        <w:rPr>
          <w:rFonts w:ascii="宋体" w:hAnsi="宋体" w:cs="宋体"/>
          <w:szCs w:val="21"/>
        </w:rPr>
      </w:pPr>
      <w:r>
        <w:rPr>
          <w:rFonts w:hint="eastAsia" w:ascii="宋体" w:hAnsi="宋体" w:cs="宋体"/>
          <w:szCs w:val="21"/>
        </w:rPr>
        <w:t>1.1.14 天（或称日）：除特别指明外，指日历天。合同中按天计算时间的，开始当天不计入，从次日开始计算。合同约定的期间的最后一天是星期日或者其他法定休假日的，以休假日的次 日为期间的最后一天。</w:t>
      </w:r>
    </w:p>
    <w:p>
      <w:pPr>
        <w:spacing w:line="360" w:lineRule="auto"/>
        <w:ind w:firstLine="411" w:firstLineChars="196"/>
        <w:rPr>
          <w:rFonts w:ascii="宋体" w:hAnsi="宋体" w:cs="宋体"/>
          <w:szCs w:val="21"/>
        </w:rPr>
      </w:pPr>
      <w:r>
        <w:rPr>
          <w:rFonts w:hint="eastAsia" w:ascii="宋体" w:hAnsi="宋体" w:cs="宋体"/>
          <w:szCs w:val="21"/>
        </w:rPr>
        <w:t>1.1.15 月：按照公历月计算。合同中按月计算时间的，开始当天不计入，从次日开始计算。合同约定的期间的最后一天是星期日或者其他法定休假日的，以休假日的次日为期间的最后一 天。</w:t>
      </w:r>
    </w:p>
    <w:p>
      <w:pPr>
        <w:spacing w:line="360" w:lineRule="auto"/>
        <w:ind w:firstLine="411" w:firstLineChars="196"/>
        <w:rPr>
          <w:rFonts w:ascii="宋体" w:hAnsi="宋体" w:cs="宋体"/>
          <w:szCs w:val="21"/>
        </w:rPr>
      </w:pPr>
      <w:r>
        <w:rPr>
          <w:rFonts w:hint="eastAsia" w:ascii="宋体" w:hAnsi="宋体" w:cs="宋体"/>
          <w:szCs w:val="21"/>
        </w:rPr>
        <w:t>1.1.16 书面形式：指合同文件、信件和数据电文（包括电报、电传、传真、电子数据交换和电子邮件）等可以有形地表现所载内容的形式。</w:t>
      </w:r>
    </w:p>
    <w:p>
      <w:pPr>
        <w:spacing w:line="360" w:lineRule="auto"/>
        <w:ind w:firstLine="413" w:firstLineChars="196"/>
        <w:rPr>
          <w:rFonts w:ascii="宋体" w:hAnsi="宋体" w:cs="宋体"/>
          <w:b/>
          <w:bCs/>
          <w:szCs w:val="21"/>
        </w:rPr>
      </w:pPr>
      <w:r>
        <w:rPr>
          <w:rFonts w:hint="eastAsia" w:ascii="宋体" w:hAnsi="宋体" w:cs="宋体"/>
          <w:b/>
          <w:bCs/>
          <w:szCs w:val="21"/>
        </w:rPr>
        <w:t>1.2 语言文字</w:t>
      </w:r>
    </w:p>
    <w:p>
      <w:pPr>
        <w:spacing w:line="360" w:lineRule="auto"/>
        <w:ind w:firstLine="411" w:firstLineChars="196"/>
        <w:rPr>
          <w:rFonts w:ascii="宋体" w:hAnsi="宋体" w:cs="宋体"/>
          <w:szCs w:val="21"/>
        </w:rPr>
      </w:pPr>
      <w:r>
        <w:rPr>
          <w:rFonts w:hint="eastAsia" w:ascii="宋体" w:hAnsi="宋体" w:cs="宋体"/>
          <w:szCs w:val="21"/>
        </w:rPr>
        <w:t>合同使用的语言文字为中文。专用术语使用外文的，应附有中文注释。</w:t>
      </w:r>
    </w:p>
    <w:p>
      <w:pPr>
        <w:spacing w:line="360" w:lineRule="auto"/>
        <w:ind w:firstLine="413" w:firstLineChars="196"/>
        <w:rPr>
          <w:rFonts w:ascii="宋体" w:hAnsi="宋体" w:cs="宋体"/>
          <w:b/>
          <w:bCs/>
          <w:szCs w:val="21"/>
        </w:rPr>
      </w:pPr>
      <w:r>
        <w:rPr>
          <w:rFonts w:hint="eastAsia" w:ascii="宋体" w:hAnsi="宋体" w:cs="宋体"/>
          <w:b/>
          <w:bCs/>
          <w:szCs w:val="21"/>
        </w:rPr>
        <w:t>1.3 合同文件的优先顺序</w:t>
      </w:r>
    </w:p>
    <w:p>
      <w:pPr>
        <w:spacing w:line="360" w:lineRule="auto"/>
        <w:ind w:firstLine="411" w:firstLineChars="196"/>
        <w:rPr>
          <w:rFonts w:ascii="宋体" w:hAnsi="宋体" w:cs="宋体"/>
          <w:szCs w:val="21"/>
        </w:rPr>
      </w:pPr>
      <w:r>
        <w:rPr>
          <w:rFonts w:hint="eastAsia" w:ascii="宋体" w:hAnsi="宋体" w:cs="宋体"/>
          <w:szCs w:val="21"/>
        </w:rPr>
        <w:t>组成合同的各项文件应互相解释，互为说明。除专用合同条款另有约定外，解释合同文件的优先顺序如下：</w:t>
      </w:r>
    </w:p>
    <w:p>
      <w:pPr>
        <w:spacing w:line="360" w:lineRule="auto"/>
        <w:ind w:firstLine="411" w:firstLineChars="196"/>
        <w:rPr>
          <w:rFonts w:ascii="宋体" w:hAnsi="宋体" w:cs="宋体"/>
          <w:szCs w:val="21"/>
        </w:rPr>
      </w:pPr>
      <w:r>
        <w:rPr>
          <w:rFonts w:hint="eastAsia" w:ascii="宋体" w:hAnsi="宋体" w:cs="宋体"/>
          <w:szCs w:val="21"/>
        </w:rPr>
        <w:t>（1）合同协议书；</w:t>
      </w:r>
    </w:p>
    <w:p>
      <w:pPr>
        <w:spacing w:line="360" w:lineRule="auto"/>
        <w:ind w:firstLine="411" w:firstLineChars="196"/>
        <w:rPr>
          <w:rFonts w:ascii="宋体" w:hAnsi="宋体" w:cs="宋体"/>
          <w:szCs w:val="21"/>
        </w:rPr>
      </w:pPr>
      <w:r>
        <w:rPr>
          <w:rFonts w:hint="eastAsia" w:ascii="宋体" w:hAnsi="宋体" w:cs="宋体"/>
          <w:szCs w:val="21"/>
        </w:rPr>
        <w:t>（2）中标通知书；</w:t>
      </w:r>
    </w:p>
    <w:p>
      <w:pPr>
        <w:spacing w:line="360" w:lineRule="auto"/>
        <w:ind w:firstLine="411" w:firstLineChars="196"/>
        <w:rPr>
          <w:rFonts w:ascii="宋体" w:hAnsi="宋体" w:cs="宋体"/>
          <w:szCs w:val="21"/>
        </w:rPr>
      </w:pPr>
      <w:r>
        <w:rPr>
          <w:rFonts w:hint="eastAsia" w:ascii="宋体" w:hAnsi="宋体" w:cs="宋体"/>
          <w:szCs w:val="21"/>
        </w:rPr>
        <w:t>（3）投标函；</w:t>
      </w:r>
    </w:p>
    <w:p>
      <w:pPr>
        <w:spacing w:line="360" w:lineRule="auto"/>
        <w:ind w:firstLine="411" w:firstLineChars="196"/>
        <w:rPr>
          <w:rFonts w:ascii="宋体" w:hAnsi="宋体" w:cs="宋体"/>
          <w:szCs w:val="21"/>
        </w:rPr>
      </w:pPr>
      <w:r>
        <w:rPr>
          <w:rFonts w:hint="eastAsia" w:ascii="宋体" w:hAnsi="宋体" w:cs="宋体"/>
          <w:szCs w:val="21"/>
        </w:rPr>
        <w:t>（4）商务和技术偏差表；</w:t>
      </w:r>
    </w:p>
    <w:p>
      <w:pPr>
        <w:spacing w:line="360" w:lineRule="auto"/>
        <w:ind w:firstLine="411" w:firstLineChars="196"/>
        <w:rPr>
          <w:rFonts w:ascii="宋体" w:hAnsi="宋体" w:cs="宋体"/>
          <w:szCs w:val="21"/>
        </w:rPr>
      </w:pPr>
      <w:r>
        <w:rPr>
          <w:rFonts w:hint="eastAsia" w:ascii="宋体" w:hAnsi="宋体" w:cs="宋体"/>
          <w:szCs w:val="21"/>
        </w:rPr>
        <w:t>（5）专用合同条款；</w:t>
      </w:r>
    </w:p>
    <w:p>
      <w:pPr>
        <w:spacing w:line="360" w:lineRule="auto"/>
        <w:ind w:firstLine="411" w:firstLineChars="196"/>
        <w:rPr>
          <w:rFonts w:ascii="宋体" w:hAnsi="宋体" w:cs="宋体"/>
          <w:szCs w:val="21"/>
        </w:rPr>
      </w:pPr>
      <w:r>
        <w:rPr>
          <w:rFonts w:hint="eastAsia" w:ascii="宋体" w:hAnsi="宋体" w:cs="宋体"/>
          <w:szCs w:val="21"/>
        </w:rPr>
        <w:t>（6）通用合同条款；</w:t>
      </w:r>
    </w:p>
    <w:p>
      <w:pPr>
        <w:spacing w:line="360" w:lineRule="auto"/>
        <w:ind w:firstLine="411" w:firstLineChars="196"/>
        <w:rPr>
          <w:rFonts w:ascii="宋体" w:hAnsi="宋体" w:cs="宋体"/>
          <w:szCs w:val="21"/>
        </w:rPr>
      </w:pPr>
      <w:r>
        <w:rPr>
          <w:rFonts w:hint="eastAsia" w:ascii="宋体" w:hAnsi="宋体" w:cs="宋体"/>
          <w:szCs w:val="21"/>
        </w:rPr>
        <w:t>（7）供货要求；</w:t>
      </w:r>
    </w:p>
    <w:p>
      <w:pPr>
        <w:spacing w:line="360" w:lineRule="auto"/>
        <w:ind w:firstLine="411" w:firstLineChars="196"/>
        <w:rPr>
          <w:rFonts w:ascii="宋体" w:hAnsi="宋体" w:cs="宋体"/>
          <w:szCs w:val="21"/>
        </w:rPr>
      </w:pPr>
      <w:r>
        <w:rPr>
          <w:rFonts w:hint="eastAsia" w:ascii="宋体" w:hAnsi="宋体" w:cs="宋体"/>
          <w:szCs w:val="21"/>
        </w:rPr>
        <w:t>（8）分项报价表；</w:t>
      </w:r>
    </w:p>
    <w:p>
      <w:pPr>
        <w:spacing w:line="360" w:lineRule="auto"/>
        <w:ind w:firstLine="411" w:firstLineChars="196"/>
        <w:rPr>
          <w:rFonts w:ascii="宋体" w:hAnsi="宋体" w:cs="宋体"/>
          <w:szCs w:val="21"/>
        </w:rPr>
      </w:pPr>
      <w:r>
        <w:rPr>
          <w:rFonts w:hint="eastAsia" w:ascii="宋体" w:hAnsi="宋体" w:cs="宋体"/>
          <w:szCs w:val="21"/>
        </w:rPr>
        <w:t>（9）中标材料技术性能指标的详细描述；</w:t>
      </w:r>
    </w:p>
    <w:p>
      <w:pPr>
        <w:spacing w:line="360" w:lineRule="auto"/>
        <w:ind w:firstLine="411" w:firstLineChars="196"/>
        <w:rPr>
          <w:rFonts w:ascii="宋体" w:hAnsi="宋体" w:cs="宋体"/>
          <w:szCs w:val="21"/>
        </w:rPr>
      </w:pPr>
      <w:r>
        <w:rPr>
          <w:rFonts w:hint="eastAsia" w:ascii="宋体" w:hAnsi="宋体" w:cs="宋体"/>
          <w:szCs w:val="21"/>
        </w:rPr>
        <w:t>（10）相关服务计划；</w:t>
      </w:r>
    </w:p>
    <w:p>
      <w:pPr>
        <w:spacing w:line="360" w:lineRule="auto"/>
        <w:ind w:firstLine="411" w:firstLineChars="196"/>
        <w:rPr>
          <w:rFonts w:ascii="宋体" w:hAnsi="宋体" w:cs="宋体"/>
          <w:szCs w:val="21"/>
        </w:rPr>
      </w:pPr>
      <w:r>
        <w:rPr>
          <w:rFonts w:hint="eastAsia" w:ascii="宋体" w:hAnsi="宋体" w:cs="宋体"/>
          <w:szCs w:val="21"/>
        </w:rPr>
        <w:t>（11）其他合同文件。</w:t>
      </w:r>
    </w:p>
    <w:p>
      <w:pPr>
        <w:spacing w:line="360" w:lineRule="auto"/>
        <w:ind w:firstLine="413" w:firstLineChars="196"/>
        <w:rPr>
          <w:rFonts w:ascii="宋体" w:hAnsi="宋体" w:cs="宋体"/>
          <w:b/>
          <w:bCs/>
          <w:szCs w:val="21"/>
        </w:rPr>
      </w:pPr>
      <w:r>
        <w:rPr>
          <w:rFonts w:hint="eastAsia" w:ascii="宋体" w:hAnsi="宋体" w:cs="宋体"/>
          <w:b/>
          <w:bCs/>
          <w:szCs w:val="21"/>
        </w:rPr>
        <w:t>1.4 合同的生效及变更</w:t>
      </w:r>
    </w:p>
    <w:p>
      <w:pPr>
        <w:spacing w:line="360" w:lineRule="auto"/>
        <w:ind w:firstLine="411" w:firstLineChars="196"/>
        <w:rPr>
          <w:rFonts w:ascii="宋体" w:hAnsi="宋体" w:cs="宋体"/>
          <w:szCs w:val="21"/>
        </w:rPr>
      </w:pPr>
      <w:r>
        <w:rPr>
          <w:rFonts w:hint="eastAsia" w:ascii="宋体" w:hAnsi="宋体" w:cs="宋体"/>
          <w:szCs w:val="21"/>
        </w:rPr>
        <w:t>1.4.1 除专用合同条款另有约定外，买方和卖方的法定代表人（单位负责人）或其授权代表在合同协议书上签字并加盖单位章后，合同生效。</w:t>
      </w:r>
    </w:p>
    <w:p>
      <w:pPr>
        <w:spacing w:line="360" w:lineRule="auto"/>
        <w:ind w:firstLine="411" w:firstLineChars="196"/>
        <w:rPr>
          <w:rFonts w:ascii="宋体" w:hAnsi="宋体" w:cs="宋体"/>
          <w:szCs w:val="21"/>
        </w:rPr>
      </w:pPr>
      <w:r>
        <w:rPr>
          <w:rFonts w:hint="eastAsia" w:ascii="宋体" w:hAnsi="宋体" w:cs="宋体"/>
          <w:szCs w:val="21"/>
        </w:rPr>
        <w:t>1.4.2 除专用合同条款另有约定外，在合同履行过程中，如需对合同进行变更，双方应签订书面协议，并经双方法定代表人（单位负责人）或其授权代表签字并加盖单位章后生效。</w:t>
      </w:r>
    </w:p>
    <w:p>
      <w:pPr>
        <w:spacing w:line="360" w:lineRule="auto"/>
        <w:ind w:firstLine="413" w:firstLineChars="196"/>
        <w:rPr>
          <w:rFonts w:ascii="宋体" w:hAnsi="宋体" w:cs="宋体"/>
          <w:b/>
          <w:bCs/>
          <w:szCs w:val="21"/>
        </w:rPr>
      </w:pPr>
      <w:r>
        <w:rPr>
          <w:rFonts w:hint="eastAsia" w:ascii="宋体" w:hAnsi="宋体" w:cs="宋体"/>
          <w:b/>
          <w:bCs/>
          <w:szCs w:val="21"/>
        </w:rPr>
        <w:t>1.5 联络</w:t>
      </w:r>
    </w:p>
    <w:p>
      <w:pPr>
        <w:spacing w:line="360" w:lineRule="auto"/>
        <w:ind w:firstLine="411" w:firstLineChars="196"/>
        <w:rPr>
          <w:rFonts w:ascii="宋体" w:hAnsi="宋体" w:cs="宋体"/>
          <w:szCs w:val="21"/>
        </w:rPr>
      </w:pPr>
      <w:r>
        <w:rPr>
          <w:rFonts w:hint="eastAsia" w:ascii="宋体" w:hAnsi="宋体" w:cs="宋体"/>
          <w:szCs w:val="21"/>
        </w:rPr>
        <w:t>1.5.1 买卖双方应就合同履行中有关的事项及时进行联络，重要事项应通过书面形式进行联络或确认。合同履行过程中的任何联络及相关文件的签署，均应通过专用合同条款指定的联系人和联系方式进行。合同履行过程中，双方可以书面形式增加或变更指定联系人。</w:t>
      </w:r>
    </w:p>
    <w:p>
      <w:pPr>
        <w:spacing w:line="360" w:lineRule="auto"/>
        <w:ind w:firstLine="411" w:firstLineChars="196"/>
        <w:rPr>
          <w:rFonts w:ascii="宋体" w:hAnsi="宋体" w:cs="宋体"/>
          <w:szCs w:val="21"/>
        </w:rPr>
      </w:pPr>
      <w:r>
        <w:rPr>
          <w:rFonts w:hint="eastAsia" w:ascii="宋体" w:hAnsi="宋体" w:cs="宋体"/>
          <w:szCs w:val="21"/>
        </w:rPr>
        <w:t>1.5.2 合同履行中或与合同有关的任何联络，送达到第 1.5.1 项指定的联系人即视为送达。</w:t>
      </w:r>
    </w:p>
    <w:p>
      <w:pPr>
        <w:spacing w:line="360" w:lineRule="auto"/>
        <w:ind w:firstLine="411" w:firstLineChars="196"/>
        <w:rPr>
          <w:rFonts w:ascii="宋体" w:hAnsi="宋体" w:cs="宋体"/>
          <w:szCs w:val="21"/>
        </w:rPr>
      </w:pPr>
      <w:r>
        <w:rPr>
          <w:rFonts w:hint="eastAsia" w:ascii="宋体" w:hAnsi="宋体" w:cs="宋体"/>
          <w:szCs w:val="21"/>
        </w:rPr>
        <w:t>1.5.3 买方可以安排监理等相关人员作为买方人员，与卖方进行联络或参加合同设备的监造（如有）、交货前检验（如有）、开箱检验、安装、调试、考核、验收等，但应按照第 1.5.1 项的约定事先书面通知卖方。</w:t>
      </w:r>
    </w:p>
    <w:p>
      <w:pPr>
        <w:spacing w:line="360" w:lineRule="auto"/>
        <w:ind w:firstLine="413" w:firstLineChars="196"/>
        <w:rPr>
          <w:rFonts w:ascii="宋体" w:hAnsi="宋体" w:cs="宋体"/>
          <w:b/>
          <w:bCs/>
          <w:szCs w:val="21"/>
        </w:rPr>
      </w:pPr>
      <w:r>
        <w:rPr>
          <w:rFonts w:hint="eastAsia" w:ascii="宋体" w:hAnsi="宋体" w:cs="宋体"/>
          <w:b/>
          <w:bCs/>
          <w:szCs w:val="21"/>
        </w:rPr>
        <w:t>1.6 联合体</w:t>
      </w:r>
    </w:p>
    <w:p>
      <w:pPr>
        <w:spacing w:line="360" w:lineRule="auto"/>
        <w:ind w:firstLine="411" w:firstLineChars="196"/>
        <w:rPr>
          <w:rFonts w:ascii="宋体" w:hAnsi="宋体" w:cs="宋体"/>
          <w:szCs w:val="21"/>
        </w:rPr>
      </w:pPr>
      <w:r>
        <w:rPr>
          <w:rFonts w:hint="eastAsia" w:ascii="宋体" w:hAnsi="宋体" w:cs="宋体"/>
          <w:szCs w:val="21"/>
        </w:rPr>
        <w:t>1.6.1 卖方为联合体的，联合体各方应当共同与买方签订合同，并向买方为履行合同承担连带责任。</w:t>
      </w:r>
    </w:p>
    <w:p>
      <w:pPr>
        <w:spacing w:line="360" w:lineRule="auto"/>
        <w:ind w:firstLine="411" w:firstLineChars="196"/>
        <w:rPr>
          <w:rFonts w:ascii="宋体" w:hAnsi="宋体" w:cs="宋体"/>
          <w:szCs w:val="21"/>
        </w:rPr>
      </w:pPr>
      <w:r>
        <w:rPr>
          <w:rFonts w:hint="eastAsia" w:ascii="宋体" w:hAnsi="宋体" w:cs="宋体"/>
          <w:szCs w:val="21"/>
        </w:rPr>
        <w:t>1.6.2 在合同履行过程中，未经买方同意，不得修改联合体协议。联合体协议中关于联合体成员间权利义务的划分，并不影响或减损联合体各方应就履行合同向买方承担的连带责任。</w:t>
      </w:r>
    </w:p>
    <w:p>
      <w:pPr>
        <w:spacing w:line="360" w:lineRule="auto"/>
        <w:ind w:firstLine="411" w:firstLineChars="196"/>
        <w:rPr>
          <w:rFonts w:ascii="宋体" w:hAnsi="宋体" w:cs="宋体"/>
          <w:szCs w:val="21"/>
        </w:rPr>
      </w:pPr>
      <w:r>
        <w:rPr>
          <w:rFonts w:hint="eastAsia" w:ascii="宋体" w:hAnsi="宋体" w:cs="宋体"/>
          <w:szCs w:val="21"/>
        </w:rPr>
        <w:t>1.6.3 联合体牵头人代表联合体与买方联系，并接受指示，负责组织联合体各成员全面履行合同。除非专用合同条款另有约定，牵头人在履行合同中的所有行为均视为已获得联合体各方的授权。买方可将合同价款全部支付给牵头人并视为其已适当履行了付款义务。如牵头人的行 为将构成对合同内容的变更，则牵头人须事先获得联合体各方的特别授权。</w:t>
      </w:r>
    </w:p>
    <w:p>
      <w:pPr>
        <w:spacing w:line="360" w:lineRule="auto"/>
        <w:ind w:firstLine="413" w:firstLineChars="196"/>
        <w:rPr>
          <w:rFonts w:ascii="宋体" w:hAnsi="宋体" w:cs="宋体"/>
          <w:b/>
          <w:bCs/>
          <w:szCs w:val="21"/>
        </w:rPr>
      </w:pPr>
      <w:r>
        <w:rPr>
          <w:rFonts w:hint="eastAsia" w:ascii="宋体" w:hAnsi="宋体" w:cs="宋体"/>
          <w:b/>
          <w:bCs/>
          <w:szCs w:val="21"/>
        </w:rPr>
        <w:t>1.7 转让</w:t>
      </w:r>
    </w:p>
    <w:p>
      <w:pPr>
        <w:spacing w:line="360" w:lineRule="auto"/>
        <w:ind w:firstLine="411" w:firstLineChars="196"/>
        <w:rPr>
          <w:rFonts w:ascii="宋体" w:hAnsi="宋体" w:cs="宋体"/>
          <w:szCs w:val="21"/>
        </w:rPr>
      </w:pPr>
      <w:r>
        <w:rPr>
          <w:rFonts w:hint="eastAsia" w:ascii="宋体" w:hAnsi="宋体" w:cs="宋体"/>
          <w:szCs w:val="21"/>
        </w:rPr>
        <w:t>未经对方当事人书面同意，合同任何一方均不得转让其在本合同项下的权利和（或）义务。</w:t>
      </w:r>
    </w:p>
    <w:p>
      <w:pPr>
        <w:pStyle w:val="5"/>
        <w:keepNext/>
        <w:keepLines/>
        <w:pageBreakBefore w:val="0"/>
        <w:widowControl/>
        <w:kinsoku/>
        <w:wordWrap/>
        <w:overflowPunct/>
        <w:topLinePunct w:val="0"/>
        <w:autoSpaceDE/>
        <w:autoSpaceDN/>
        <w:bidi w:val="0"/>
        <w:adjustRightInd/>
        <w:snapToGrid/>
        <w:spacing w:line="15" w:lineRule="auto"/>
        <w:textAlignment w:val="auto"/>
        <w:rPr>
          <w:rFonts w:hint="eastAsia"/>
          <w:sz w:val="24"/>
          <w:szCs w:val="24"/>
        </w:rPr>
      </w:pPr>
      <w:r>
        <w:rPr>
          <w:rFonts w:hint="eastAsia"/>
          <w:sz w:val="24"/>
          <w:szCs w:val="24"/>
        </w:rPr>
        <w:t>2. 合同范围</w:t>
      </w:r>
    </w:p>
    <w:p>
      <w:pPr>
        <w:spacing w:line="360" w:lineRule="auto"/>
        <w:ind w:firstLine="411" w:firstLineChars="196"/>
        <w:rPr>
          <w:rFonts w:ascii="宋体" w:hAnsi="宋体" w:cs="宋体"/>
          <w:szCs w:val="21"/>
        </w:rPr>
      </w:pPr>
      <w:r>
        <w:rPr>
          <w:rFonts w:hint="eastAsia" w:ascii="宋体" w:hAnsi="宋体" w:cs="宋体"/>
          <w:szCs w:val="21"/>
        </w:rPr>
        <w:t>卖方应根据供货要求、中标材料技术性能指标的详细描述、相关服务计划等合同文件的约定向买方提供合同材料和相关服务。</w:t>
      </w:r>
    </w:p>
    <w:p>
      <w:pPr>
        <w:pStyle w:val="5"/>
        <w:keepNext/>
        <w:keepLines/>
        <w:pageBreakBefore w:val="0"/>
        <w:widowControl/>
        <w:kinsoku/>
        <w:wordWrap/>
        <w:overflowPunct/>
        <w:topLinePunct w:val="0"/>
        <w:autoSpaceDE/>
        <w:autoSpaceDN/>
        <w:bidi w:val="0"/>
        <w:adjustRightInd/>
        <w:snapToGrid/>
        <w:spacing w:line="15" w:lineRule="auto"/>
        <w:textAlignment w:val="auto"/>
        <w:rPr>
          <w:rFonts w:hint="eastAsia"/>
          <w:sz w:val="24"/>
          <w:szCs w:val="24"/>
        </w:rPr>
      </w:pPr>
      <w:r>
        <w:rPr>
          <w:rFonts w:hint="eastAsia"/>
          <w:sz w:val="24"/>
          <w:szCs w:val="24"/>
        </w:rPr>
        <w:t>3. 合同价格与支付</w:t>
      </w:r>
    </w:p>
    <w:p>
      <w:pPr>
        <w:spacing w:line="360" w:lineRule="auto"/>
        <w:ind w:firstLine="413" w:firstLineChars="196"/>
        <w:rPr>
          <w:rFonts w:ascii="宋体" w:hAnsi="宋体" w:cs="宋体"/>
          <w:b/>
          <w:bCs/>
          <w:szCs w:val="21"/>
        </w:rPr>
      </w:pPr>
      <w:r>
        <w:rPr>
          <w:rFonts w:hint="eastAsia" w:ascii="宋体" w:hAnsi="宋体" w:cs="宋体"/>
          <w:b/>
          <w:bCs/>
          <w:szCs w:val="21"/>
        </w:rPr>
        <w:t>3.1 合同价格</w:t>
      </w:r>
    </w:p>
    <w:p>
      <w:pPr>
        <w:spacing w:line="360" w:lineRule="auto"/>
        <w:ind w:firstLine="411" w:firstLineChars="196"/>
        <w:rPr>
          <w:rFonts w:ascii="宋体" w:hAnsi="宋体" w:cs="宋体"/>
          <w:szCs w:val="21"/>
        </w:rPr>
      </w:pPr>
      <w:r>
        <w:rPr>
          <w:rFonts w:hint="eastAsia" w:ascii="宋体" w:hAnsi="宋体" w:cs="宋体"/>
          <w:szCs w:val="21"/>
        </w:rPr>
        <w:t>3.1.1 合同协议书中载明的签约合同价包括卖方为完成合同全部义务应承担的一切成本、费用和支出以及卖方的合理利润。</w:t>
      </w:r>
    </w:p>
    <w:p>
      <w:pPr>
        <w:spacing w:line="360" w:lineRule="auto"/>
        <w:ind w:firstLine="411" w:firstLineChars="196"/>
        <w:rPr>
          <w:rFonts w:ascii="宋体" w:hAnsi="宋体" w:cs="宋体"/>
          <w:szCs w:val="21"/>
        </w:rPr>
      </w:pPr>
      <w:r>
        <w:rPr>
          <w:rFonts w:hint="eastAsia" w:ascii="宋体" w:hAnsi="宋体" w:cs="宋体"/>
          <w:szCs w:val="21"/>
        </w:rPr>
        <w:t>3.1.2 除专用合同条款另有约定外，供货周期不超过 12 个月的签约合同价为固定价格。供货周期超过 12 个月且合同材料交付时材料价格变化超过专用合同条款约定的幅度的，双方应按照专用合同条款中约定的调整方法对合同价格进行调整。</w:t>
      </w:r>
    </w:p>
    <w:p>
      <w:pPr>
        <w:spacing w:line="360" w:lineRule="auto"/>
        <w:ind w:firstLine="413" w:firstLineChars="196"/>
        <w:rPr>
          <w:rFonts w:ascii="宋体" w:hAnsi="宋体" w:cs="宋体"/>
          <w:b/>
          <w:bCs/>
          <w:szCs w:val="21"/>
        </w:rPr>
      </w:pPr>
      <w:r>
        <w:rPr>
          <w:rFonts w:hint="eastAsia" w:ascii="宋体" w:hAnsi="宋体" w:cs="宋体"/>
          <w:b/>
          <w:bCs/>
          <w:szCs w:val="21"/>
        </w:rPr>
        <w:t>3.2 合同价款的支付</w:t>
      </w:r>
    </w:p>
    <w:p>
      <w:pPr>
        <w:spacing w:line="360" w:lineRule="auto"/>
        <w:ind w:firstLine="411" w:firstLineChars="196"/>
        <w:rPr>
          <w:rFonts w:ascii="宋体" w:hAnsi="宋体" w:cs="宋体"/>
          <w:szCs w:val="21"/>
        </w:rPr>
      </w:pPr>
      <w:r>
        <w:rPr>
          <w:rFonts w:hint="eastAsia" w:ascii="宋体" w:hAnsi="宋体" w:cs="宋体"/>
          <w:szCs w:val="21"/>
        </w:rPr>
        <w:t>除专用合同条款另有约定外，买方应通过以下方式和比例向卖方支付合同价款：</w:t>
      </w:r>
    </w:p>
    <w:p>
      <w:pPr>
        <w:spacing w:line="360" w:lineRule="auto"/>
        <w:ind w:firstLine="411" w:firstLineChars="196"/>
        <w:rPr>
          <w:rFonts w:ascii="宋体" w:hAnsi="宋体" w:cs="宋体"/>
          <w:szCs w:val="21"/>
        </w:rPr>
      </w:pPr>
      <w:r>
        <w:rPr>
          <w:rFonts w:hint="eastAsia" w:ascii="宋体" w:hAnsi="宋体" w:cs="宋体"/>
          <w:szCs w:val="21"/>
        </w:rPr>
        <w:t>3.2.1 预付款</w:t>
      </w:r>
    </w:p>
    <w:p>
      <w:pPr>
        <w:spacing w:line="360" w:lineRule="auto"/>
        <w:ind w:firstLine="411" w:firstLineChars="196"/>
        <w:rPr>
          <w:rFonts w:ascii="宋体" w:hAnsi="宋体" w:cs="宋体"/>
          <w:szCs w:val="21"/>
        </w:rPr>
      </w:pPr>
      <w:r>
        <w:rPr>
          <w:rFonts w:hint="eastAsia" w:ascii="宋体" w:hAnsi="宋体" w:cs="宋体"/>
          <w:szCs w:val="21"/>
        </w:rPr>
        <w:t>合同生效后，买方在收到卖方开具的注明应付预付款金额的财务收据正本一份并经审核无误后 28 日内，向卖方支付签约合同价的 10%作为预付款。</w:t>
      </w:r>
    </w:p>
    <w:p>
      <w:pPr>
        <w:spacing w:line="360" w:lineRule="auto"/>
        <w:ind w:firstLine="411" w:firstLineChars="196"/>
        <w:rPr>
          <w:rFonts w:ascii="宋体" w:hAnsi="宋体" w:cs="宋体"/>
          <w:szCs w:val="21"/>
        </w:rPr>
      </w:pPr>
      <w:r>
        <w:rPr>
          <w:rFonts w:hint="eastAsia" w:ascii="宋体" w:hAnsi="宋体" w:cs="宋体"/>
          <w:szCs w:val="21"/>
        </w:rPr>
        <w:t>买方支付预付款后，如卖方未履行合同义务，则买方有权收回预付款；如卖方依约履行了合同义务，则预付款抵作进度款。</w:t>
      </w:r>
    </w:p>
    <w:p>
      <w:pPr>
        <w:spacing w:line="360" w:lineRule="auto"/>
        <w:ind w:firstLine="411" w:firstLineChars="196"/>
        <w:rPr>
          <w:rFonts w:ascii="宋体" w:hAnsi="宋体" w:cs="宋体"/>
          <w:szCs w:val="21"/>
        </w:rPr>
      </w:pPr>
      <w:r>
        <w:rPr>
          <w:rFonts w:hint="eastAsia" w:ascii="宋体" w:hAnsi="宋体" w:cs="宋体"/>
          <w:szCs w:val="21"/>
        </w:rPr>
        <w:t>3.2.2 进度款 卖方按照合同约定的进度交付合同材料并提供相关服务后，买方在收到卖方提交的下列单</w:t>
      </w:r>
    </w:p>
    <w:p>
      <w:pPr>
        <w:spacing w:line="360" w:lineRule="auto"/>
        <w:ind w:firstLine="411" w:firstLineChars="196"/>
        <w:rPr>
          <w:rFonts w:ascii="宋体" w:hAnsi="宋体" w:cs="宋体"/>
          <w:szCs w:val="21"/>
        </w:rPr>
      </w:pPr>
      <w:r>
        <w:rPr>
          <w:rFonts w:hint="eastAsia" w:ascii="宋体" w:hAnsi="宋体" w:cs="宋体"/>
          <w:szCs w:val="21"/>
        </w:rPr>
        <w:t>据并经审核无误后 28 日内，应向卖方支付进度款，进度款支付至该批次合同材料的合同价格的95%：</w:t>
      </w:r>
    </w:p>
    <w:p>
      <w:pPr>
        <w:spacing w:line="360" w:lineRule="auto"/>
        <w:ind w:firstLine="411" w:firstLineChars="196"/>
        <w:rPr>
          <w:rFonts w:ascii="宋体" w:hAnsi="宋体" w:cs="宋体"/>
          <w:szCs w:val="21"/>
        </w:rPr>
      </w:pPr>
      <w:r>
        <w:rPr>
          <w:rFonts w:hint="eastAsia" w:ascii="宋体" w:hAnsi="宋体" w:cs="宋体"/>
          <w:szCs w:val="21"/>
        </w:rPr>
        <w:t>（1）卖方出具的交货清单正本一份；</w:t>
      </w:r>
    </w:p>
    <w:p>
      <w:pPr>
        <w:spacing w:line="360" w:lineRule="auto"/>
        <w:ind w:firstLine="411" w:firstLineChars="196"/>
        <w:rPr>
          <w:rFonts w:ascii="宋体" w:hAnsi="宋体" w:cs="宋体"/>
          <w:szCs w:val="21"/>
        </w:rPr>
      </w:pPr>
      <w:r>
        <w:rPr>
          <w:rFonts w:hint="eastAsia" w:ascii="宋体" w:hAnsi="宋体" w:cs="宋体"/>
          <w:szCs w:val="21"/>
        </w:rPr>
        <w:t>（2）买方签署的收货清单正本一份；</w:t>
      </w:r>
    </w:p>
    <w:p>
      <w:pPr>
        <w:spacing w:line="360" w:lineRule="auto"/>
        <w:ind w:firstLine="411" w:firstLineChars="196"/>
        <w:rPr>
          <w:rFonts w:ascii="宋体" w:hAnsi="宋体" w:cs="宋体"/>
          <w:szCs w:val="21"/>
        </w:rPr>
      </w:pPr>
      <w:r>
        <w:rPr>
          <w:rFonts w:hint="eastAsia" w:ascii="宋体" w:hAnsi="宋体" w:cs="宋体"/>
          <w:szCs w:val="21"/>
        </w:rPr>
        <w:t>（3）制造商出具的出厂质量合格证正本一份；</w:t>
      </w:r>
    </w:p>
    <w:p>
      <w:pPr>
        <w:spacing w:line="360" w:lineRule="auto"/>
        <w:ind w:firstLine="411" w:firstLineChars="196"/>
        <w:rPr>
          <w:rFonts w:ascii="宋体" w:hAnsi="宋体" w:cs="宋体"/>
          <w:szCs w:val="21"/>
        </w:rPr>
      </w:pPr>
      <w:r>
        <w:rPr>
          <w:rFonts w:hint="eastAsia" w:ascii="宋体" w:hAnsi="宋体" w:cs="宋体"/>
          <w:szCs w:val="21"/>
        </w:rPr>
        <w:t>（4）合同材料验收证书或进度款支付函正本一份；</w:t>
      </w:r>
    </w:p>
    <w:p>
      <w:pPr>
        <w:spacing w:line="360" w:lineRule="auto"/>
        <w:ind w:firstLine="411" w:firstLineChars="196"/>
        <w:rPr>
          <w:rFonts w:ascii="宋体" w:hAnsi="宋体" w:cs="宋体"/>
          <w:szCs w:val="21"/>
        </w:rPr>
      </w:pPr>
      <w:r>
        <w:rPr>
          <w:rFonts w:hint="eastAsia" w:ascii="宋体" w:hAnsi="宋体" w:cs="宋体"/>
          <w:szCs w:val="21"/>
        </w:rPr>
        <w:t>（5）合同价格 100%金额的增值税发票正本一份。</w:t>
      </w:r>
    </w:p>
    <w:p>
      <w:pPr>
        <w:spacing w:line="360" w:lineRule="auto"/>
        <w:ind w:firstLine="411" w:firstLineChars="196"/>
        <w:rPr>
          <w:rFonts w:ascii="宋体" w:hAnsi="宋体" w:cs="宋体"/>
          <w:szCs w:val="21"/>
        </w:rPr>
      </w:pPr>
      <w:r>
        <w:rPr>
          <w:rFonts w:hint="eastAsia" w:ascii="宋体" w:hAnsi="宋体" w:cs="宋体"/>
          <w:szCs w:val="21"/>
        </w:rPr>
        <w:t>3.2.3 结清款全部合同材料质量保证期届满后，买方在收到卖方提交的由买方签署的质量保证期届满证书并经审核无误后 28 日内，向卖方支付合同价格 5%的结清款。</w:t>
      </w:r>
    </w:p>
    <w:p>
      <w:pPr>
        <w:spacing w:line="360" w:lineRule="auto"/>
        <w:ind w:firstLine="413" w:firstLineChars="196"/>
        <w:rPr>
          <w:rFonts w:ascii="宋体" w:hAnsi="宋体" w:cs="宋体"/>
          <w:b/>
          <w:bCs/>
          <w:szCs w:val="21"/>
        </w:rPr>
      </w:pPr>
      <w:r>
        <w:rPr>
          <w:rFonts w:hint="eastAsia" w:ascii="宋体" w:hAnsi="宋体" w:cs="宋体"/>
          <w:b/>
          <w:bCs/>
          <w:szCs w:val="21"/>
        </w:rPr>
        <w:t>3.3 买方扣款的权利</w:t>
      </w:r>
    </w:p>
    <w:p>
      <w:pPr>
        <w:spacing w:line="360" w:lineRule="auto"/>
        <w:ind w:firstLine="411" w:firstLineChars="196"/>
        <w:rPr>
          <w:rFonts w:ascii="宋体" w:hAnsi="宋体" w:cs="宋体"/>
          <w:szCs w:val="21"/>
        </w:rPr>
      </w:pPr>
      <w:r>
        <w:rPr>
          <w:rFonts w:hint="eastAsia" w:ascii="宋体" w:hAnsi="宋体" w:cs="宋体"/>
          <w:szCs w:val="21"/>
        </w:rPr>
        <w:t>当卖方应向买方支付合同项下的违约金或赔偿金时，买方有权从上述任何一笔应付款中予以直接扣除和（或）兑付履约保证金。</w:t>
      </w:r>
    </w:p>
    <w:p>
      <w:pPr>
        <w:pStyle w:val="5"/>
        <w:keepNext/>
        <w:keepLines/>
        <w:pageBreakBefore w:val="0"/>
        <w:widowControl/>
        <w:kinsoku/>
        <w:wordWrap/>
        <w:overflowPunct/>
        <w:topLinePunct w:val="0"/>
        <w:autoSpaceDE/>
        <w:autoSpaceDN/>
        <w:bidi w:val="0"/>
        <w:adjustRightInd/>
        <w:snapToGrid/>
        <w:spacing w:line="15" w:lineRule="auto"/>
        <w:textAlignment w:val="auto"/>
        <w:rPr>
          <w:rFonts w:hint="eastAsia"/>
          <w:sz w:val="24"/>
          <w:szCs w:val="24"/>
        </w:rPr>
      </w:pPr>
      <w:r>
        <w:rPr>
          <w:rFonts w:hint="eastAsia"/>
          <w:sz w:val="24"/>
          <w:szCs w:val="24"/>
        </w:rPr>
        <w:t>4. 监造及交货前检验</w:t>
      </w:r>
    </w:p>
    <w:p>
      <w:pPr>
        <w:spacing w:line="360" w:lineRule="auto"/>
        <w:ind w:firstLine="413" w:firstLineChars="196"/>
        <w:rPr>
          <w:rFonts w:ascii="宋体" w:hAnsi="宋体" w:cs="宋体"/>
          <w:b/>
          <w:bCs/>
          <w:szCs w:val="21"/>
        </w:rPr>
      </w:pPr>
      <w:r>
        <w:rPr>
          <w:rFonts w:hint="eastAsia" w:ascii="宋体" w:hAnsi="宋体" w:cs="宋体"/>
          <w:b/>
          <w:bCs/>
          <w:szCs w:val="21"/>
        </w:rPr>
        <w:t>4.1 监造</w:t>
      </w:r>
    </w:p>
    <w:p>
      <w:pPr>
        <w:spacing w:line="360" w:lineRule="auto"/>
        <w:ind w:firstLine="411" w:firstLineChars="196"/>
        <w:rPr>
          <w:rFonts w:ascii="宋体" w:hAnsi="宋体" w:cs="宋体"/>
          <w:szCs w:val="21"/>
        </w:rPr>
      </w:pPr>
      <w:r>
        <w:rPr>
          <w:rFonts w:hint="eastAsia" w:ascii="宋体" w:hAnsi="宋体" w:cs="宋体"/>
          <w:szCs w:val="21"/>
        </w:rPr>
        <w:t>专用合同条款约定买方对合同设备进行监造的，双方应按本款及专用合同条款约定履行。</w:t>
      </w:r>
    </w:p>
    <w:p>
      <w:pPr>
        <w:spacing w:line="360" w:lineRule="auto"/>
        <w:ind w:firstLine="411" w:firstLineChars="196"/>
        <w:rPr>
          <w:rFonts w:ascii="宋体" w:hAnsi="宋体" w:cs="宋体"/>
          <w:szCs w:val="21"/>
        </w:rPr>
      </w:pPr>
      <w:r>
        <w:rPr>
          <w:rFonts w:hint="eastAsia" w:ascii="宋体" w:hAnsi="宋体" w:cs="宋体"/>
          <w:szCs w:val="21"/>
        </w:rPr>
        <w:t>4.1.1  在合同设备的制造过程中，买方可派出监造人员，对合同设备的生产制造进行监造，监督合同设备制造、检验等情况。监造的范围、方式等应符合专用合同条款和（或）供货要求等合同文件的约定。</w:t>
      </w:r>
    </w:p>
    <w:p>
      <w:pPr>
        <w:spacing w:line="360" w:lineRule="auto"/>
        <w:ind w:firstLine="411" w:firstLineChars="196"/>
        <w:rPr>
          <w:rFonts w:ascii="宋体" w:hAnsi="宋体" w:cs="宋体"/>
          <w:szCs w:val="21"/>
        </w:rPr>
      </w:pPr>
      <w:r>
        <w:rPr>
          <w:rFonts w:hint="eastAsia" w:ascii="宋体" w:hAnsi="宋体" w:cs="宋体"/>
          <w:szCs w:val="21"/>
        </w:rPr>
        <w:t>4.1.2 除专用合同条款和（或）供货要求等合同文件另有约定外，买方监造人员可到合同设备及其关键部件的生产制造现场进行监造，卖方应予配合。卖方应免费为买方监造人员提供工 作条件及便利，包括但不限于必要的办公场所、技术资料、检测工具及出入许可等。除专用合同条款另有约定外，买方监造人员的交通、食宿费用由买方承担。</w:t>
      </w:r>
    </w:p>
    <w:p>
      <w:pPr>
        <w:spacing w:line="360" w:lineRule="auto"/>
        <w:ind w:firstLine="411" w:firstLineChars="196"/>
        <w:rPr>
          <w:rFonts w:ascii="宋体" w:hAnsi="宋体" w:cs="宋体"/>
          <w:szCs w:val="21"/>
        </w:rPr>
      </w:pPr>
      <w:r>
        <w:rPr>
          <w:rFonts w:hint="eastAsia" w:ascii="宋体" w:hAnsi="宋体" w:cs="宋体"/>
          <w:szCs w:val="21"/>
        </w:rPr>
        <w:t>4.1.3 卖方制订生产制造合同设备的进度计划时，应将买方监造纳入计划安排，并提前通知买方；买方进行监造不应影响合同设备的正常生产。除专用合同条款和（或）供货要求等合同文件另有约定外，卖方应提前 7 日将需要买方监造人员现场监造事项通知买方；如买方监造人员未按通知出席，不影响合同设备及其关键部件的制造或检验，但买方监造人员有权事后了解、查阅、复制相关制造或检验记录。</w:t>
      </w:r>
    </w:p>
    <w:p>
      <w:pPr>
        <w:spacing w:line="360" w:lineRule="auto"/>
        <w:ind w:firstLine="411" w:firstLineChars="196"/>
        <w:rPr>
          <w:rFonts w:ascii="宋体" w:hAnsi="宋体" w:cs="宋体"/>
          <w:szCs w:val="21"/>
        </w:rPr>
      </w:pPr>
      <w:r>
        <w:rPr>
          <w:rFonts w:hint="eastAsia" w:ascii="宋体" w:hAnsi="宋体" w:cs="宋体"/>
          <w:szCs w:val="21"/>
        </w:rPr>
        <w:t>4.1.4 买方监造人员在监造中如发现合同设备及其关键部件不符合合同约定的标准，则有权提出意见和建议。卖方应采取必要措施消除合同设备的不符，由此增加的费用和（或）造成的 延误由卖方负责。</w:t>
      </w:r>
    </w:p>
    <w:p>
      <w:pPr>
        <w:spacing w:line="360" w:lineRule="auto"/>
        <w:ind w:firstLine="411" w:firstLineChars="196"/>
        <w:rPr>
          <w:rFonts w:ascii="宋体" w:hAnsi="宋体" w:cs="宋体"/>
          <w:szCs w:val="21"/>
        </w:rPr>
      </w:pPr>
      <w:r>
        <w:rPr>
          <w:rFonts w:hint="eastAsia" w:ascii="宋体" w:hAnsi="宋体" w:cs="宋体"/>
          <w:szCs w:val="21"/>
        </w:rPr>
        <w:t>4.1.5 买方监造人员对合同设备的监造，不视为对合同设备质量的确认，不影响卖方交货后买方依照合同约定对合同设备提出质量异议和（或）退货的权利，也不免除卖方依照合同约定对合同设备所应承担的任何义务或责任。</w:t>
      </w:r>
    </w:p>
    <w:p>
      <w:pPr>
        <w:spacing w:line="360" w:lineRule="auto"/>
        <w:ind w:firstLine="413" w:firstLineChars="196"/>
        <w:rPr>
          <w:rFonts w:ascii="宋体" w:hAnsi="宋体" w:cs="宋体"/>
          <w:b/>
          <w:bCs/>
          <w:szCs w:val="21"/>
        </w:rPr>
      </w:pPr>
      <w:r>
        <w:rPr>
          <w:rFonts w:hint="eastAsia" w:ascii="宋体" w:hAnsi="宋体" w:cs="宋体"/>
          <w:b/>
          <w:bCs/>
          <w:szCs w:val="21"/>
        </w:rPr>
        <w:t>4.2 交货前检验</w:t>
      </w:r>
    </w:p>
    <w:p>
      <w:pPr>
        <w:spacing w:line="360" w:lineRule="auto"/>
        <w:ind w:firstLine="411" w:firstLineChars="196"/>
        <w:rPr>
          <w:rFonts w:ascii="宋体" w:hAnsi="宋体" w:cs="宋体"/>
          <w:szCs w:val="21"/>
        </w:rPr>
      </w:pPr>
      <w:r>
        <w:rPr>
          <w:rFonts w:hint="eastAsia" w:ascii="宋体" w:hAnsi="宋体" w:cs="宋体"/>
          <w:szCs w:val="21"/>
        </w:rPr>
        <w:t>专用合同条款约定买方参与交货前检验的，双方应按本款及专用合同条款约定履行。</w:t>
      </w:r>
    </w:p>
    <w:p>
      <w:pPr>
        <w:spacing w:line="360" w:lineRule="auto"/>
        <w:ind w:firstLine="411" w:firstLineChars="196"/>
        <w:rPr>
          <w:rFonts w:ascii="宋体" w:hAnsi="宋体" w:cs="宋体"/>
          <w:szCs w:val="21"/>
        </w:rPr>
      </w:pPr>
      <w:r>
        <w:rPr>
          <w:rFonts w:hint="eastAsia" w:ascii="宋体" w:hAnsi="宋体" w:cs="宋体"/>
          <w:szCs w:val="21"/>
        </w:rPr>
        <w:t>4.2.1 合同设备交货前，卖方应会同买方代表根据合同约定对合同设备进行交货前检验并出具交货前检验记录，有关费用由卖方承担。卖方应免费为买方代表提供工作条件及便利，包括但不限于必要的办公场所、技术资料、检测工具及出入许可等。除专用合同条款另有约定外，买方代表的交通、食宿费用由买方承担。</w:t>
      </w:r>
    </w:p>
    <w:p>
      <w:pPr>
        <w:spacing w:line="360" w:lineRule="auto"/>
        <w:ind w:firstLine="411" w:firstLineChars="196"/>
        <w:rPr>
          <w:rFonts w:ascii="宋体" w:hAnsi="宋体" w:cs="宋体"/>
          <w:szCs w:val="21"/>
        </w:rPr>
      </w:pPr>
      <w:r>
        <w:rPr>
          <w:rFonts w:hint="eastAsia" w:ascii="宋体" w:hAnsi="宋体" w:cs="宋体"/>
          <w:szCs w:val="21"/>
        </w:rPr>
        <w:t>4.2.2 除专用合同条款和（或）供货要求等合同文件另有约定外，卖方应提前 7 日将需要买方代表检验事项通知买方；如买方代表未按通知出席，不影响合同设备的检验。若卖方未依照 合同约定提前通知买方而自行检验，则买方有权要求卖方暂停发货并重新进行检验，由此增加 的费用和（或）造成的延误由卖方负责。</w:t>
      </w:r>
    </w:p>
    <w:p>
      <w:pPr>
        <w:spacing w:line="360" w:lineRule="auto"/>
        <w:ind w:firstLine="411" w:firstLineChars="196"/>
        <w:rPr>
          <w:rFonts w:ascii="宋体" w:hAnsi="宋体" w:cs="宋体"/>
          <w:szCs w:val="21"/>
        </w:rPr>
      </w:pPr>
      <w:r>
        <w:rPr>
          <w:rFonts w:hint="eastAsia" w:ascii="宋体" w:hAnsi="宋体" w:cs="宋体"/>
          <w:szCs w:val="21"/>
        </w:rPr>
        <w:t>4.2.3 买方代表在检验中如发现合同设备不符合合同约定的标准，则有权提出异议。卖方应 采取必要措施消除合同设备的不符，由此增加的费用和（或）造成的延误由卖方负责。</w:t>
      </w:r>
    </w:p>
    <w:p>
      <w:pPr>
        <w:spacing w:line="360" w:lineRule="auto"/>
        <w:ind w:firstLine="411" w:firstLineChars="196"/>
        <w:rPr>
          <w:rFonts w:ascii="宋体" w:hAnsi="宋体" w:cs="宋体"/>
          <w:szCs w:val="21"/>
        </w:rPr>
      </w:pPr>
      <w:r>
        <w:rPr>
          <w:rFonts w:hint="eastAsia" w:ascii="宋体" w:hAnsi="宋体" w:cs="宋体"/>
          <w:szCs w:val="21"/>
        </w:rPr>
        <w:t>4.2.4 买方代表参与交货前检验及签署交货前检验记录的行为，不视为对合同设备质量的确认，不影响卖方交货后买方依照合同约定对合同设备提出质量异议和（或）退货的权利，也不免除卖方依照合同约定对合同设备所应承担的任何义务或责任。</w:t>
      </w:r>
    </w:p>
    <w:p>
      <w:pPr>
        <w:pStyle w:val="5"/>
        <w:keepNext/>
        <w:keepLines/>
        <w:pageBreakBefore w:val="0"/>
        <w:widowControl/>
        <w:kinsoku/>
        <w:wordWrap/>
        <w:overflowPunct/>
        <w:topLinePunct w:val="0"/>
        <w:autoSpaceDE/>
        <w:autoSpaceDN/>
        <w:bidi w:val="0"/>
        <w:adjustRightInd/>
        <w:snapToGrid/>
        <w:spacing w:line="15" w:lineRule="auto"/>
        <w:textAlignment w:val="auto"/>
        <w:rPr>
          <w:rFonts w:hint="eastAsia"/>
          <w:sz w:val="24"/>
          <w:szCs w:val="24"/>
        </w:rPr>
      </w:pPr>
      <w:r>
        <w:rPr>
          <w:rFonts w:hint="eastAsia"/>
          <w:sz w:val="24"/>
          <w:szCs w:val="24"/>
        </w:rPr>
        <w:t>5. 包装、标记、运输和交付</w:t>
      </w:r>
    </w:p>
    <w:p>
      <w:pPr>
        <w:spacing w:line="360" w:lineRule="auto"/>
        <w:ind w:firstLine="413" w:firstLineChars="196"/>
        <w:rPr>
          <w:rFonts w:ascii="宋体" w:hAnsi="宋体" w:cs="宋体"/>
          <w:b/>
          <w:bCs/>
          <w:szCs w:val="21"/>
        </w:rPr>
      </w:pPr>
      <w:r>
        <w:rPr>
          <w:rFonts w:hint="eastAsia" w:ascii="宋体" w:hAnsi="宋体" w:cs="宋体"/>
          <w:b/>
          <w:bCs/>
          <w:szCs w:val="21"/>
        </w:rPr>
        <w:t>5.1 包装</w:t>
      </w:r>
    </w:p>
    <w:p>
      <w:pPr>
        <w:spacing w:line="360" w:lineRule="auto"/>
        <w:ind w:firstLine="411" w:firstLineChars="196"/>
        <w:rPr>
          <w:rFonts w:ascii="宋体" w:hAnsi="宋体" w:cs="宋体"/>
          <w:szCs w:val="21"/>
        </w:rPr>
      </w:pPr>
      <w:r>
        <w:rPr>
          <w:rFonts w:hint="eastAsia" w:ascii="宋体" w:hAnsi="宋体" w:cs="宋体"/>
          <w:szCs w:val="21"/>
        </w:rPr>
        <w:t>5.1.1 卖方应对合同设备进行妥善包装，以满足合同设备运至施工场地及在施工场地保管的需要。包装应采取防潮、防晒、防锈、防腐蚀、防震动及防止其它损坏的必要保护措施，从而 保护合同设备能够经受多次搬运、装卸、长途运输并适宜保管。</w:t>
      </w:r>
    </w:p>
    <w:p>
      <w:pPr>
        <w:spacing w:line="360" w:lineRule="auto"/>
        <w:ind w:firstLine="411" w:firstLineChars="196"/>
        <w:rPr>
          <w:rFonts w:ascii="宋体" w:hAnsi="宋体" w:cs="宋体"/>
          <w:szCs w:val="21"/>
        </w:rPr>
      </w:pPr>
      <w:r>
        <w:rPr>
          <w:rFonts w:hint="eastAsia" w:ascii="宋体" w:hAnsi="宋体" w:cs="宋体"/>
          <w:szCs w:val="21"/>
        </w:rPr>
        <w:t>5.1.2 每个独立包装箱内应附装箱清单、质量合格证、装配图、说明书、操作指南等资料。</w:t>
      </w:r>
    </w:p>
    <w:p>
      <w:pPr>
        <w:spacing w:line="360" w:lineRule="auto"/>
        <w:ind w:firstLine="411" w:firstLineChars="196"/>
        <w:rPr>
          <w:rFonts w:ascii="宋体" w:hAnsi="宋体" w:cs="宋体"/>
          <w:szCs w:val="21"/>
        </w:rPr>
      </w:pPr>
      <w:r>
        <w:rPr>
          <w:rFonts w:hint="eastAsia" w:ascii="宋体" w:hAnsi="宋体" w:cs="宋体"/>
          <w:szCs w:val="21"/>
        </w:rPr>
        <w:t>5.1.3 除专用合同条款另有约定外，买方无需将包装物退还给卖方。</w:t>
      </w:r>
    </w:p>
    <w:p>
      <w:pPr>
        <w:spacing w:line="360" w:lineRule="auto"/>
        <w:ind w:firstLine="413" w:firstLineChars="196"/>
        <w:rPr>
          <w:rFonts w:ascii="宋体" w:hAnsi="宋体" w:cs="宋体"/>
          <w:b/>
          <w:bCs/>
          <w:szCs w:val="21"/>
        </w:rPr>
      </w:pPr>
      <w:r>
        <w:rPr>
          <w:rFonts w:hint="eastAsia" w:ascii="宋体" w:hAnsi="宋体" w:cs="宋体"/>
          <w:b/>
          <w:bCs/>
          <w:szCs w:val="21"/>
        </w:rPr>
        <w:t>5.2 标记</w:t>
      </w:r>
    </w:p>
    <w:p>
      <w:pPr>
        <w:spacing w:line="360" w:lineRule="auto"/>
        <w:ind w:firstLine="411" w:firstLineChars="196"/>
        <w:rPr>
          <w:rFonts w:ascii="宋体" w:hAnsi="宋体" w:cs="宋体"/>
          <w:szCs w:val="21"/>
        </w:rPr>
      </w:pPr>
      <w:r>
        <w:rPr>
          <w:rFonts w:hint="eastAsia" w:ascii="宋体" w:hAnsi="宋体" w:cs="宋体"/>
          <w:szCs w:val="21"/>
        </w:rPr>
        <w:t>5.2.1 除专用合同条款另有约定外，卖方应在每一包装箱相邻的四个侧面以不可擦除的、明显的方式标记必要的装运信息和标记，以满足合同设备运输和保管的需要。</w:t>
      </w:r>
    </w:p>
    <w:p>
      <w:pPr>
        <w:spacing w:line="360" w:lineRule="auto"/>
        <w:ind w:firstLine="411" w:firstLineChars="196"/>
        <w:rPr>
          <w:rFonts w:ascii="宋体" w:hAnsi="宋体" w:cs="宋体"/>
          <w:b/>
          <w:bCs/>
          <w:szCs w:val="21"/>
        </w:rPr>
      </w:pPr>
      <w:r>
        <w:rPr>
          <w:rFonts w:hint="eastAsia" w:ascii="宋体" w:hAnsi="宋体" w:cs="宋体"/>
          <w:szCs w:val="21"/>
        </w:rPr>
        <w:t>5.2.2 根据合同设备的特点和运输、保管的不同要求，卖方应在包装箱上清楚地标注“小心轻放”、“此端朝上，请勿倒置”、“保持干燥”等字样和其他适当标记。对于专用合同条款约定的超大超重件，卖方应在包装箱两侧标注“重心”和“起吊点”以便装卸和搬运。如果发运合同设备中含有易燃易爆物品、腐蚀物品、放射性物质等危险品，则应在包装箱上标明危险品标志。</w:t>
      </w:r>
    </w:p>
    <w:p>
      <w:pPr>
        <w:spacing w:line="360" w:lineRule="auto"/>
        <w:ind w:firstLine="413" w:firstLineChars="196"/>
        <w:rPr>
          <w:rFonts w:ascii="宋体" w:hAnsi="宋体" w:cs="宋体"/>
          <w:b/>
          <w:bCs/>
          <w:szCs w:val="21"/>
        </w:rPr>
      </w:pPr>
      <w:r>
        <w:rPr>
          <w:rFonts w:hint="eastAsia" w:ascii="宋体" w:hAnsi="宋体" w:cs="宋体"/>
          <w:b/>
          <w:bCs/>
          <w:szCs w:val="21"/>
        </w:rPr>
        <w:t>5.3 运输</w:t>
      </w:r>
    </w:p>
    <w:p>
      <w:pPr>
        <w:spacing w:line="360" w:lineRule="auto"/>
        <w:ind w:firstLine="411" w:firstLineChars="196"/>
        <w:rPr>
          <w:rFonts w:ascii="宋体" w:hAnsi="宋体" w:cs="宋体"/>
          <w:szCs w:val="21"/>
        </w:rPr>
      </w:pPr>
      <w:r>
        <w:rPr>
          <w:rFonts w:hint="eastAsia" w:ascii="宋体" w:hAnsi="宋体" w:cs="宋体"/>
          <w:szCs w:val="21"/>
        </w:rPr>
        <w:t>5.3.1 卖方应自行选择适宜的运输工具及线路安排合同设备运输。</w:t>
      </w:r>
    </w:p>
    <w:p>
      <w:pPr>
        <w:spacing w:line="360" w:lineRule="auto"/>
        <w:ind w:firstLine="411" w:firstLineChars="196"/>
        <w:rPr>
          <w:rFonts w:ascii="宋体" w:hAnsi="宋体" w:cs="宋体"/>
          <w:szCs w:val="21"/>
        </w:rPr>
      </w:pPr>
      <w:r>
        <w:rPr>
          <w:rFonts w:hint="eastAsia" w:ascii="宋体" w:hAnsi="宋体" w:cs="宋体"/>
          <w:szCs w:val="21"/>
        </w:rPr>
        <w:t>5.3.2 除专用合同条款另有约定外，每件能够独立运行的设备应整套装运。该设备安装、调 试、考核和运行所使用的备品、备件、易损易耗件等应随相关的主机一齐装运。</w:t>
      </w:r>
    </w:p>
    <w:p>
      <w:pPr>
        <w:spacing w:line="360" w:lineRule="auto"/>
        <w:ind w:firstLine="411" w:firstLineChars="196"/>
        <w:rPr>
          <w:rFonts w:ascii="宋体" w:hAnsi="宋体" w:cs="宋体"/>
          <w:szCs w:val="21"/>
        </w:rPr>
      </w:pPr>
      <w:r>
        <w:rPr>
          <w:rFonts w:hint="eastAsia" w:ascii="宋体" w:hAnsi="宋体" w:cs="宋体"/>
          <w:szCs w:val="21"/>
        </w:rPr>
        <w:t>5.3.3 除专用合同条款另有约定外，卖方应在合同设备预计启运 7 日前，将合同设备名称、 数量、箱数、总毛重、总体积（用 m3  表示）、每箱尺寸（长×宽×高）、装运合同设备总金额、 运输方式、预计交付日期和合同设备在运输、装卸、保管中的注意事项等预通知买方，并在合 同设备启运后 24 小时之内正式通知买方。</w:t>
      </w:r>
    </w:p>
    <w:p>
      <w:pPr>
        <w:spacing w:line="360" w:lineRule="auto"/>
        <w:ind w:firstLine="411" w:firstLineChars="196"/>
        <w:rPr>
          <w:rFonts w:ascii="宋体" w:hAnsi="宋体" w:cs="宋体"/>
          <w:b/>
          <w:bCs/>
          <w:szCs w:val="21"/>
        </w:rPr>
      </w:pPr>
      <w:r>
        <w:rPr>
          <w:rFonts w:hint="eastAsia" w:ascii="宋体" w:hAnsi="宋体" w:cs="宋体"/>
          <w:szCs w:val="21"/>
        </w:rPr>
        <w:t>5.3.4 卖方在根据第 5.3.3 项进行通知时，如果发运合同设备中包括专用合同条款约定的超 大超重包装，则卖方应将超大和（或）超重的每个包装箱的重量和尺寸通知买方；如果发运合 同设备中包括易燃易爆物品、腐蚀物品、放射性物质等危险品，则危险品的品名、性质、在运 输、装卸、保管方面的特殊要求、注意事项和处理意外情况的方法等，也应一并通知买方。</w:t>
      </w:r>
    </w:p>
    <w:p>
      <w:pPr>
        <w:spacing w:line="360" w:lineRule="auto"/>
        <w:ind w:firstLine="413" w:firstLineChars="196"/>
        <w:rPr>
          <w:rFonts w:ascii="宋体" w:hAnsi="宋体" w:cs="宋体"/>
          <w:b/>
          <w:bCs/>
          <w:szCs w:val="21"/>
        </w:rPr>
      </w:pPr>
      <w:r>
        <w:rPr>
          <w:rFonts w:hint="eastAsia" w:ascii="宋体" w:hAnsi="宋体" w:cs="宋体"/>
          <w:b/>
          <w:bCs/>
          <w:szCs w:val="21"/>
        </w:rPr>
        <w:t>5.4 交付</w:t>
      </w:r>
    </w:p>
    <w:p>
      <w:pPr>
        <w:spacing w:line="360" w:lineRule="auto"/>
        <w:ind w:firstLine="411" w:firstLineChars="196"/>
        <w:rPr>
          <w:rFonts w:ascii="宋体" w:hAnsi="宋体" w:cs="宋体"/>
          <w:szCs w:val="21"/>
        </w:rPr>
      </w:pPr>
      <w:r>
        <w:rPr>
          <w:rFonts w:hint="eastAsia" w:ascii="宋体" w:hAnsi="宋体" w:cs="宋体"/>
          <w:szCs w:val="21"/>
        </w:rPr>
        <w:t>5.4.1 除专用合同条款另有约定外，卖方应根据合同约定的交付时间和批次在施工场地车面 上将合同设备交付给买方。买方对卖方交付的包装的合同设备的外观及件数进行清点核验后应 签发收货清单，并自负风险和费用进行卸货。买方签发收货清单不代表对合同设备的接受，双 方还应按合同约定进行后续的检验和验收。</w:t>
      </w:r>
    </w:p>
    <w:p>
      <w:pPr>
        <w:spacing w:line="360" w:lineRule="auto"/>
        <w:ind w:firstLine="411" w:firstLineChars="196"/>
        <w:rPr>
          <w:rFonts w:ascii="宋体" w:hAnsi="宋体" w:cs="宋体"/>
          <w:szCs w:val="21"/>
        </w:rPr>
      </w:pPr>
      <w:r>
        <w:rPr>
          <w:rFonts w:hint="eastAsia" w:ascii="宋体" w:hAnsi="宋体" w:cs="宋体"/>
          <w:szCs w:val="21"/>
        </w:rPr>
        <w:t>5.4.2 合同设备的所有权和风险自交付时起由卖方转移至买方，合同设备交付给买方之前包括运输在内的所有风险均由卖方承担。</w:t>
      </w:r>
    </w:p>
    <w:p>
      <w:pPr>
        <w:spacing w:line="360" w:lineRule="auto"/>
        <w:ind w:firstLine="411" w:firstLineChars="196"/>
        <w:rPr>
          <w:rFonts w:ascii="宋体" w:hAnsi="宋体" w:cs="宋体"/>
          <w:szCs w:val="21"/>
        </w:rPr>
      </w:pPr>
      <w:r>
        <w:rPr>
          <w:rFonts w:hint="eastAsia" w:ascii="宋体" w:hAnsi="宋体" w:cs="宋体"/>
          <w:szCs w:val="21"/>
        </w:rPr>
        <w:t>5.4.3 除专用合同条款另有约定外，买方如果发现技术资料存在短缺和（或）损坏，卖方应在收到买方的通知后 7 日内免费补齐短缺和（或）损坏的部分。如果买方发现卖方提供的技术资料有误，卖方应在收到买方通知后 7 日内免费替换。如由于买方原因导致技术资料丢失和（或）损坏，卖方应在收到买方的通知后 7 日内补齐丢失和（或）损坏的部分，但买方应向卖方支付合理的复制、邮寄费用。</w:t>
      </w:r>
    </w:p>
    <w:p>
      <w:pPr>
        <w:pStyle w:val="5"/>
        <w:keepNext/>
        <w:keepLines/>
        <w:pageBreakBefore w:val="0"/>
        <w:widowControl/>
        <w:kinsoku/>
        <w:wordWrap/>
        <w:overflowPunct/>
        <w:topLinePunct w:val="0"/>
        <w:autoSpaceDE/>
        <w:autoSpaceDN/>
        <w:bidi w:val="0"/>
        <w:adjustRightInd/>
        <w:snapToGrid/>
        <w:spacing w:line="15" w:lineRule="auto"/>
        <w:textAlignment w:val="auto"/>
        <w:rPr>
          <w:rFonts w:hint="eastAsia"/>
          <w:sz w:val="24"/>
          <w:szCs w:val="24"/>
        </w:rPr>
      </w:pPr>
      <w:r>
        <w:rPr>
          <w:rFonts w:hint="eastAsia"/>
          <w:sz w:val="24"/>
          <w:szCs w:val="24"/>
        </w:rPr>
        <w:t>6. 开箱检验、安装、调试、考核、验收</w:t>
      </w:r>
    </w:p>
    <w:p>
      <w:pPr>
        <w:spacing w:line="360" w:lineRule="auto"/>
        <w:ind w:firstLine="413" w:firstLineChars="196"/>
        <w:rPr>
          <w:rFonts w:ascii="宋体" w:hAnsi="宋体" w:cs="宋体"/>
          <w:b/>
          <w:bCs/>
          <w:szCs w:val="21"/>
        </w:rPr>
      </w:pPr>
      <w:r>
        <w:rPr>
          <w:rFonts w:hint="eastAsia" w:ascii="宋体" w:hAnsi="宋体" w:cs="宋体"/>
          <w:b/>
          <w:bCs/>
          <w:szCs w:val="21"/>
        </w:rPr>
        <w:t>6.1 开箱检验</w:t>
      </w:r>
    </w:p>
    <w:p>
      <w:pPr>
        <w:spacing w:line="360" w:lineRule="auto"/>
        <w:ind w:firstLine="411" w:firstLineChars="196"/>
        <w:rPr>
          <w:rFonts w:ascii="宋体" w:hAnsi="宋体" w:cs="宋体"/>
          <w:szCs w:val="21"/>
        </w:rPr>
      </w:pPr>
      <w:r>
        <w:rPr>
          <w:rFonts w:hint="eastAsia" w:ascii="宋体" w:hAnsi="宋体" w:cs="宋体"/>
          <w:szCs w:val="21"/>
        </w:rPr>
        <w:t>6.1.1 合同设备交付后应进行开箱检验，即合同设备数量及外观检验。开箱检验在专用合同条款约定的下列任一种时间进行：</w:t>
      </w:r>
    </w:p>
    <w:p>
      <w:pPr>
        <w:spacing w:line="360" w:lineRule="auto"/>
        <w:ind w:firstLine="411" w:firstLineChars="196"/>
        <w:rPr>
          <w:rFonts w:ascii="宋体" w:hAnsi="宋体" w:cs="宋体"/>
          <w:szCs w:val="21"/>
        </w:rPr>
      </w:pPr>
      <w:r>
        <w:rPr>
          <w:rFonts w:hint="eastAsia" w:ascii="宋体" w:hAnsi="宋体" w:cs="宋体"/>
          <w:szCs w:val="21"/>
        </w:rPr>
        <w:t>（1）合同设备交付时；</w:t>
      </w:r>
    </w:p>
    <w:p>
      <w:pPr>
        <w:spacing w:line="360" w:lineRule="auto"/>
        <w:ind w:firstLine="411" w:firstLineChars="196"/>
        <w:rPr>
          <w:rFonts w:ascii="宋体" w:hAnsi="宋体" w:cs="宋体"/>
          <w:szCs w:val="21"/>
        </w:rPr>
      </w:pPr>
      <w:r>
        <w:rPr>
          <w:rFonts w:hint="eastAsia" w:ascii="宋体" w:hAnsi="宋体" w:cs="宋体"/>
          <w:szCs w:val="21"/>
        </w:rPr>
        <w:t>（2）合同设备交付后的一定期限内。 如开箱检验不在合同设备交付时进行，买方应在开箱检验 3 日前将开箱检验的时间和地点通知卖方。</w:t>
      </w:r>
    </w:p>
    <w:p>
      <w:pPr>
        <w:spacing w:line="360" w:lineRule="auto"/>
        <w:ind w:firstLine="411" w:firstLineChars="196"/>
        <w:rPr>
          <w:rFonts w:ascii="宋体" w:hAnsi="宋体" w:cs="宋体"/>
          <w:szCs w:val="21"/>
        </w:rPr>
      </w:pPr>
      <w:r>
        <w:rPr>
          <w:rFonts w:hint="eastAsia" w:ascii="宋体" w:hAnsi="宋体" w:cs="宋体"/>
          <w:szCs w:val="21"/>
        </w:rPr>
        <w:t>6.1.2 除专用合同条款另有约定外，合同设备的开箱检验应在施工场地进行。</w:t>
      </w:r>
    </w:p>
    <w:p>
      <w:pPr>
        <w:spacing w:line="360" w:lineRule="auto"/>
        <w:ind w:firstLine="411" w:firstLineChars="196"/>
        <w:rPr>
          <w:rFonts w:ascii="宋体" w:hAnsi="宋体" w:cs="宋体"/>
          <w:szCs w:val="21"/>
        </w:rPr>
      </w:pPr>
      <w:r>
        <w:rPr>
          <w:rFonts w:hint="eastAsia" w:ascii="宋体" w:hAnsi="宋体" w:cs="宋体"/>
          <w:szCs w:val="21"/>
        </w:rPr>
        <w:t>6.1.3 开箱检验由买卖双方共同进行，卖方应自负费用派遣代表到场参加开箱检验。</w:t>
      </w:r>
    </w:p>
    <w:p>
      <w:pPr>
        <w:spacing w:line="360" w:lineRule="auto"/>
        <w:ind w:firstLine="411" w:firstLineChars="196"/>
        <w:rPr>
          <w:rFonts w:ascii="宋体" w:hAnsi="宋体" w:cs="宋体"/>
          <w:szCs w:val="21"/>
        </w:rPr>
      </w:pPr>
      <w:r>
        <w:rPr>
          <w:rFonts w:hint="eastAsia" w:ascii="宋体" w:hAnsi="宋体" w:cs="宋体"/>
          <w:szCs w:val="21"/>
        </w:rPr>
        <w:t>6.1.4  在开箱检验中，买方和卖方应共同签署数量、外观检验报告，报告应列明检验结果，包括检验合格或发现的任何短缺、损坏或其它与合同约定不符的情形。</w:t>
      </w:r>
    </w:p>
    <w:p>
      <w:pPr>
        <w:spacing w:line="360" w:lineRule="auto"/>
        <w:ind w:firstLine="411" w:firstLineChars="196"/>
        <w:rPr>
          <w:rFonts w:ascii="宋体" w:hAnsi="宋体" w:cs="宋体"/>
          <w:szCs w:val="21"/>
        </w:rPr>
      </w:pPr>
      <w:r>
        <w:rPr>
          <w:rFonts w:hint="eastAsia" w:ascii="宋体" w:hAnsi="宋体" w:cs="宋体"/>
          <w:szCs w:val="21"/>
        </w:rPr>
        <w:t>6.1.5 如果卖方代表未能依约或按买方通知到场参加开箱检验，买方有权在卖方代表未在场的情况下进行开箱检验，并签署数量、外观检验报告，对于该检验报告和检验结果，视为卖方已接受，但卖方确有合理理由且事先与买方协商推迟开箱检验时间的除外。</w:t>
      </w:r>
    </w:p>
    <w:p>
      <w:pPr>
        <w:spacing w:line="360" w:lineRule="auto"/>
        <w:ind w:firstLine="411" w:firstLineChars="196"/>
        <w:rPr>
          <w:rFonts w:ascii="宋体" w:hAnsi="宋体" w:cs="宋体"/>
          <w:szCs w:val="21"/>
        </w:rPr>
      </w:pPr>
      <w:r>
        <w:rPr>
          <w:rFonts w:hint="eastAsia" w:ascii="宋体" w:hAnsi="宋体" w:cs="宋体"/>
          <w:szCs w:val="21"/>
        </w:rPr>
        <w:t>6.1.6 如开箱检验不在合同设备交付时进行，则合同设备交付以后到开箱检验之前，应由买方负责按交货时外包装原样对合同设备进行妥善保管。除专用合同条款另有约定外，在开箱检验时如果合同设备外包装与交货时一致，则开箱检验中发现的合同设备的短缺、损坏或其它与 合同约定不符的情形，由卖方负责，卖方应补齐、更换及采取其他补救措施。如果在开箱检验 时合同设备外包装不是交货时的包装或虽是交货时的包装但与交货时不一致且出现很可能导致 合同设备短缺或损坏的包装破损，则开箱检验中发现合同设备短缺、损坏或其它与合同约定不 符的情形的风险，由买方承担，但买方能够证明是由于卖方原因或合同设备交付前非买方原因 导致的除外。</w:t>
      </w:r>
    </w:p>
    <w:p>
      <w:pPr>
        <w:widowControl w:val="0"/>
        <w:spacing w:line="360" w:lineRule="auto"/>
        <w:ind w:firstLine="411" w:firstLineChars="196"/>
        <w:rPr>
          <w:rFonts w:ascii="宋体" w:hAnsi="宋体" w:cs="宋体"/>
          <w:szCs w:val="21"/>
        </w:rPr>
      </w:pPr>
      <w:r>
        <w:rPr>
          <w:rFonts w:hint="eastAsia" w:ascii="宋体" w:hAnsi="宋体" w:cs="宋体"/>
          <w:szCs w:val="21"/>
        </w:rPr>
        <w:t>6.1.7 如双方在专用合同条款和（或）供货要求等合同文件中约定由第三方检测机构对合同设备进行开箱检验或在开箱检验过程中另行约定由第三方检验的，则第三方检测机构的检验结 果对双方均具有约束力。</w:t>
      </w:r>
    </w:p>
    <w:p>
      <w:pPr>
        <w:spacing w:line="360" w:lineRule="auto"/>
        <w:ind w:firstLine="411" w:firstLineChars="196"/>
        <w:rPr>
          <w:rFonts w:ascii="宋体" w:hAnsi="宋体" w:cs="宋体"/>
          <w:szCs w:val="21"/>
        </w:rPr>
      </w:pPr>
      <w:r>
        <w:rPr>
          <w:rFonts w:hint="eastAsia" w:ascii="宋体" w:hAnsi="宋体" w:cs="宋体"/>
          <w:szCs w:val="21"/>
        </w:rPr>
        <w:t>6.1.8 开箱检验的检验结果不能对抗在合同设备的安装、调试、考核、验收中及质量保证期 内发现的合同设备质量问题，也不能免除或影响卖方依照合同约定对买方负有的包括合同设备 质量在内的任何义务或责任。</w:t>
      </w:r>
    </w:p>
    <w:p>
      <w:pPr>
        <w:spacing w:line="360" w:lineRule="auto"/>
        <w:ind w:firstLine="413" w:firstLineChars="196"/>
        <w:rPr>
          <w:rFonts w:ascii="宋体" w:hAnsi="宋体" w:cs="宋体"/>
          <w:b/>
          <w:bCs/>
          <w:szCs w:val="21"/>
        </w:rPr>
      </w:pPr>
      <w:r>
        <w:rPr>
          <w:rFonts w:hint="eastAsia" w:ascii="宋体" w:hAnsi="宋体" w:cs="宋体"/>
          <w:b/>
          <w:bCs/>
          <w:szCs w:val="21"/>
        </w:rPr>
        <w:t>6.2 安装、调试</w:t>
      </w:r>
    </w:p>
    <w:p>
      <w:pPr>
        <w:spacing w:line="360" w:lineRule="auto"/>
        <w:ind w:firstLine="411" w:firstLineChars="196"/>
        <w:rPr>
          <w:rFonts w:ascii="宋体" w:hAnsi="宋体" w:cs="宋体"/>
          <w:szCs w:val="21"/>
        </w:rPr>
      </w:pPr>
      <w:r>
        <w:rPr>
          <w:rFonts w:hint="eastAsia" w:ascii="宋体" w:hAnsi="宋体" w:cs="宋体"/>
          <w:szCs w:val="21"/>
        </w:rPr>
        <w:t>6.2.1 开箱检验完成后，双方应对合同设备进行安装、调试，以使其具备考核的状态。安装、调试应按照专用合同条款约定的下列任一种方式进行：</w:t>
      </w:r>
    </w:p>
    <w:p>
      <w:pPr>
        <w:spacing w:line="360" w:lineRule="auto"/>
        <w:ind w:firstLine="411" w:firstLineChars="196"/>
        <w:rPr>
          <w:rFonts w:ascii="宋体" w:hAnsi="宋体" w:cs="宋体"/>
          <w:szCs w:val="21"/>
        </w:rPr>
      </w:pPr>
      <w:r>
        <w:rPr>
          <w:rFonts w:hint="eastAsia" w:ascii="宋体" w:hAnsi="宋体" w:cs="宋体"/>
          <w:szCs w:val="21"/>
        </w:rPr>
        <w:t>（1）卖方按照合同约定完成合同设备的安装、调试工作；</w:t>
      </w:r>
    </w:p>
    <w:p>
      <w:pPr>
        <w:spacing w:line="360" w:lineRule="auto"/>
        <w:ind w:firstLine="411" w:firstLineChars="196"/>
        <w:rPr>
          <w:rFonts w:ascii="宋体" w:hAnsi="宋体" w:cs="宋体"/>
          <w:szCs w:val="21"/>
        </w:rPr>
      </w:pPr>
      <w:r>
        <w:rPr>
          <w:rFonts w:hint="eastAsia" w:ascii="宋体" w:hAnsi="宋体" w:cs="宋体"/>
          <w:szCs w:val="21"/>
        </w:rPr>
        <w:t>（2）买方或买方安排第三方负责合同设备的安装、调试工作，卖方提供技术服务。除专用合同条款另有约定外，在安装、调试过程中，如由于买方或买方安排的第三方未按照卖方现场服务人员的指导导致安装、调试不成功和（或）出现合同设备损坏，买方应自行承 担责任。如在买方或买方安排的第三方按照卖方现场服务人员的指导进行安装、调试的情况下出现安装、调试不成功和（或）造成合同设备损坏的情况，卖方应承担责任。</w:t>
      </w:r>
    </w:p>
    <w:p>
      <w:pPr>
        <w:spacing w:line="360" w:lineRule="auto"/>
        <w:ind w:firstLine="411" w:firstLineChars="196"/>
        <w:rPr>
          <w:rFonts w:ascii="宋体" w:hAnsi="宋体" w:cs="宋体"/>
          <w:szCs w:val="21"/>
        </w:rPr>
      </w:pPr>
      <w:r>
        <w:rPr>
          <w:rFonts w:hint="eastAsia" w:ascii="宋体" w:hAnsi="宋体" w:cs="宋体"/>
          <w:szCs w:val="21"/>
        </w:rPr>
        <w:t>6.2.2 除专用合同条款另有约定外，安装、调试中合同设备运行需要的用水、用电、其他动力和原材料（如需要）等均由买方承担。</w:t>
      </w:r>
    </w:p>
    <w:p>
      <w:pPr>
        <w:spacing w:line="360" w:lineRule="auto"/>
        <w:ind w:firstLine="411" w:firstLineChars="196"/>
        <w:rPr>
          <w:rFonts w:ascii="宋体" w:hAnsi="宋体" w:cs="宋体"/>
          <w:szCs w:val="21"/>
        </w:rPr>
      </w:pPr>
      <w:r>
        <w:rPr>
          <w:rFonts w:hint="eastAsia" w:ascii="宋体" w:hAnsi="宋体" w:cs="宋体"/>
          <w:szCs w:val="21"/>
        </w:rPr>
        <w:t>6.2.3 双方应对合同设备的安装、调试情况共同及时进行记录。</w:t>
      </w:r>
    </w:p>
    <w:p>
      <w:pPr>
        <w:spacing w:line="360" w:lineRule="auto"/>
        <w:ind w:firstLine="413" w:firstLineChars="196"/>
        <w:rPr>
          <w:rFonts w:ascii="宋体" w:hAnsi="宋体" w:cs="宋体"/>
          <w:b/>
          <w:bCs/>
          <w:szCs w:val="21"/>
        </w:rPr>
      </w:pPr>
      <w:r>
        <w:rPr>
          <w:rFonts w:hint="eastAsia" w:ascii="宋体" w:hAnsi="宋体" w:cs="宋体"/>
          <w:b/>
          <w:bCs/>
          <w:szCs w:val="21"/>
        </w:rPr>
        <w:t>6.3 考核</w:t>
      </w:r>
    </w:p>
    <w:p>
      <w:pPr>
        <w:spacing w:line="360" w:lineRule="auto"/>
        <w:ind w:firstLine="411" w:firstLineChars="196"/>
        <w:rPr>
          <w:rFonts w:ascii="宋体" w:hAnsi="宋体" w:cs="宋体"/>
          <w:szCs w:val="21"/>
        </w:rPr>
      </w:pPr>
      <w:r>
        <w:rPr>
          <w:rFonts w:hint="eastAsia" w:ascii="宋体" w:hAnsi="宋体" w:cs="宋体"/>
          <w:szCs w:val="21"/>
        </w:rPr>
        <w:t>6.3.1 安装、调试完成后，双方应对合同设备进行考核，以确定合同设备是否达到合同约定的技术性能考核指标。除专用合同条款另有约定外，考核中合同设备运行需要的用水、用电、其他动力和原材料（如需要）等均由买方承担。</w:t>
      </w:r>
    </w:p>
    <w:p>
      <w:pPr>
        <w:spacing w:line="360" w:lineRule="auto"/>
        <w:ind w:firstLine="411" w:firstLineChars="196"/>
        <w:rPr>
          <w:rFonts w:ascii="宋体" w:hAnsi="宋体" w:cs="宋体"/>
          <w:szCs w:val="21"/>
        </w:rPr>
      </w:pPr>
      <w:r>
        <w:rPr>
          <w:rFonts w:hint="eastAsia" w:ascii="宋体" w:hAnsi="宋体" w:cs="宋体"/>
          <w:szCs w:val="21"/>
        </w:rPr>
        <w:t>6.3.2 如由于卖方原因合同设备在考核中未能达到合同约定的技术性能考核指标，则卖方应在双方同意的期限内采取措施消除合同设备中存在的缺陷，并在缺陷消除以后，尽快进行再次考核。</w:t>
      </w:r>
    </w:p>
    <w:p>
      <w:pPr>
        <w:spacing w:line="360" w:lineRule="auto"/>
        <w:ind w:firstLine="411" w:firstLineChars="196"/>
        <w:rPr>
          <w:rFonts w:ascii="宋体" w:hAnsi="宋体" w:cs="宋体"/>
          <w:szCs w:val="21"/>
        </w:rPr>
      </w:pPr>
      <w:r>
        <w:rPr>
          <w:rFonts w:hint="eastAsia" w:ascii="宋体" w:hAnsi="宋体" w:cs="宋体"/>
          <w:szCs w:val="21"/>
        </w:rPr>
        <w:t>6.3.3 由于卖方原因未能达到技术性能考核指标时，为卖方进行考核的机会不超过三次。如果由于卖方原因，三次考核均未能达到合同约定的技术性能考核指标，则买卖双方应就合同的后续履行进行协商，协商不成的，买方有权解除合同。但如合同中约定了或双方在考核中另行 达成了合同设备的最低技术性能考核指标，且合同设备达到了最低技术性能考核指标的，视为合同设备已达到技术性能考核指标，买方无权解除合同，且应接受合同设备，但卖方应按专用合同条款的约定进行减价或向买方支付补偿金。</w:t>
      </w:r>
    </w:p>
    <w:p>
      <w:pPr>
        <w:spacing w:line="360" w:lineRule="auto"/>
        <w:ind w:firstLine="411" w:firstLineChars="196"/>
        <w:rPr>
          <w:rFonts w:ascii="宋体" w:hAnsi="宋体" w:cs="宋体"/>
          <w:szCs w:val="21"/>
        </w:rPr>
      </w:pPr>
      <w:r>
        <w:rPr>
          <w:rFonts w:hint="eastAsia" w:ascii="宋体" w:hAnsi="宋体" w:cs="宋体"/>
          <w:szCs w:val="21"/>
        </w:rPr>
        <w:t>6.3.4 如由于买方原因合同设备在考核中未能达到合同约定的技术性能考核指标，则卖方应 协助买方安排再次考核。由于买方原因未能达到技术性能考核指标时，为买方进行考核的机会 不超过三次。</w:t>
      </w:r>
    </w:p>
    <w:p>
      <w:pPr>
        <w:spacing w:line="360" w:lineRule="auto"/>
        <w:ind w:firstLine="411" w:firstLineChars="196"/>
        <w:rPr>
          <w:rFonts w:ascii="宋体" w:hAnsi="宋体" w:cs="宋体"/>
          <w:szCs w:val="21"/>
        </w:rPr>
      </w:pPr>
      <w:r>
        <w:rPr>
          <w:rFonts w:hint="eastAsia" w:ascii="宋体" w:hAnsi="宋体" w:cs="宋体"/>
          <w:szCs w:val="21"/>
        </w:rPr>
        <w:t>6.3.5  考核期间，双方应及时共同记录合同设备的用水、用电、其他动力和原材料（如有）的使用及设备考核情况。对于未达到技术性能考核指标的，应如实记录设备表现、可能原因及 处理情况等。</w:t>
      </w:r>
    </w:p>
    <w:p>
      <w:pPr>
        <w:spacing w:line="360" w:lineRule="auto"/>
        <w:ind w:firstLine="413" w:firstLineChars="196"/>
        <w:rPr>
          <w:rFonts w:ascii="宋体" w:hAnsi="宋体" w:cs="宋体"/>
          <w:b/>
          <w:bCs/>
          <w:szCs w:val="21"/>
        </w:rPr>
      </w:pPr>
      <w:r>
        <w:rPr>
          <w:rFonts w:hint="eastAsia" w:ascii="宋体" w:hAnsi="宋体" w:cs="宋体"/>
          <w:b/>
          <w:bCs/>
          <w:szCs w:val="21"/>
        </w:rPr>
        <w:t>6.4 验收</w:t>
      </w:r>
    </w:p>
    <w:p>
      <w:pPr>
        <w:spacing w:line="360" w:lineRule="auto"/>
        <w:ind w:firstLine="411" w:firstLineChars="196"/>
        <w:rPr>
          <w:rFonts w:ascii="宋体" w:hAnsi="宋体" w:cs="宋体"/>
          <w:szCs w:val="21"/>
        </w:rPr>
      </w:pPr>
      <w:r>
        <w:rPr>
          <w:rFonts w:hint="eastAsia" w:ascii="宋体" w:hAnsi="宋体" w:cs="宋体"/>
          <w:szCs w:val="21"/>
        </w:rPr>
        <w:t>6.4.1 如合同设备在考核中达到或视为达到技术性能考核指标，则买卖双方应在考核完成后7日内或专用合同条款另行约定的时间内签署合同设备验收证书一式二份，双方各持一份。验收日期应为合同设备达到或视为达到技术性能考核指标的日期。</w:t>
      </w:r>
    </w:p>
    <w:p>
      <w:pPr>
        <w:spacing w:line="360" w:lineRule="auto"/>
        <w:ind w:firstLine="411" w:firstLineChars="196"/>
        <w:rPr>
          <w:rFonts w:ascii="宋体" w:hAnsi="宋体" w:cs="宋体"/>
          <w:szCs w:val="21"/>
        </w:rPr>
      </w:pPr>
      <w:r>
        <w:rPr>
          <w:rFonts w:hint="eastAsia" w:ascii="宋体" w:hAnsi="宋体" w:cs="宋体"/>
          <w:szCs w:val="21"/>
        </w:rPr>
        <w:t>6.4.2 如由于买方原因合同设备在三次考核中均未能达到技术性能考核指标，买卖双方应在考核结束后 7 日内或专用合同条款另行约定的时间内签署验收款支付函。</w:t>
      </w:r>
    </w:p>
    <w:p>
      <w:pPr>
        <w:spacing w:line="360" w:lineRule="auto"/>
        <w:ind w:firstLine="411" w:firstLineChars="196"/>
        <w:rPr>
          <w:rFonts w:ascii="宋体" w:hAnsi="宋体" w:cs="宋体"/>
          <w:szCs w:val="21"/>
        </w:rPr>
      </w:pPr>
      <w:r>
        <w:rPr>
          <w:rFonts w:hint="eastAsia" w:ascii="宋体" w:hAnsi="宋体" w:cs="宋体"/>
          <w:szCs w:val="21"/>
        </w:rPr>
        <w:t>除专用合同条款另有约定外，卖方有义务在验收款支付函签署后 12 个月内应买方要求提供相关技术服务，协助买方采取一切必要措施使合同设备达到技术性能考核指标。买方应承担卖方因此产生的全部费用。</w:t>
      </w:r>
    </w:p>
    <w:p>
      <w:pPr>
        <w:spacing w:line="360" w:lineRule="auto"/>
        <w:ind w:firstLine="411" w:firstLineChars="196"/>
        <w:rPr>
          <w:rFonts w:ascii="宋体" w:hAnsi="宋体" w:cs="宋体"/>
          <w:szCs w:val="21"/>
        </w:rPr>
      </w:pPr>
      <w:r>
        <w:rPr>
          <w:rFonts w:hint="eastAsia" w:ascii="宋体" w:hAnsi="宋体" w:cs="宋体"/>
          <w:szCs w:val="21"/>
        </w:rPr>
        <w:t>在上述 12 个月的期限内，如合同设备经过考核达到或视为达到技术性能考核指标，则买卖双方应按照第 6.4.1 项的约定签署合同设备验收证书。</w:t>
      </w:r>
    </w:p>
    <w:p>
      <w:pPr>
        <w:spacing w:line="360" w:lineRule="auto"/>
        <w:ind w:firstLine="411" w:firstLineChars="196"/>
        <w:rPr>
          <w:rFonts w:ascii="宋体" w:hAnsi="宋体" w:cs="宋体"/>
          <w:szCs w:val="21"/>
        </w:rPr>
      </w:pPr>
      <w:r>
        <w:rPr>
          <w:rFonts w:hint="eastAsia" w:ascii="宋体" w:hAnsi="宋体" w:cs="宋体"/>
          <w:szCs w:val="21"/>
        </w:rPr>
        <w:t>6.4.3 除专用合同条款另有约定外，如由于买方原因在最后一批合同设备交货后 6 个月内未能开始考核，则买卖双方应在上述期限届满后 7 日内或专用合同条款另行约定的时间内签署验收款支付函。</w:t>
      </w:r>
    </w:p>
    <w:p>
      <w:pPr>
        <w:spacing w:line="360" w:lineRule="auto"/>
        <w:ind w:firstLine="411" w:firstLineChars="196"/>
        <w:rPr>
          <w:rFonts w:ascii="宋体" w:hAnsi="宋体" w:cs="宋体"/>
          <w:szCs w:val="21"/>
        </w:rPr>
      </w:pPr>
      <w:r>
        <w:rPr>
          <w:rFonts w:hint="eastAsia" w:ascii="宋体" w:hAnsi="宋体" w:cs="宋体"/>
          <w:szCs w:val="21"/>
        </w:rPr>
        <w:t>除专用合同条款另有约定外，卖方有义务在验收款支付函签署后 6 个月内应买方要求提供不超出合同范围的技术服务，协助买方采取一切必要措施使合同设备达到技术性能考核指标，且买方无需因此向卖方支付费用。</w:t>
      </w:r>
    </w:p>
    <w:p>
      <w:pPr>
        <w:spacing w:line="360" w:lineRule="auto"/>
        <w:ind w:firstLine="411" w:firstLineChars="196"/>
        <w:rPr>
          <w:rFonts w:ascii="宋体" w:hAnsi="宋体" w:cs="宋体"/>
          <w:szCs w:val="21"/>
        </w:rPr>
      </w:pPr>
      <w:r>
        <w:rPr>
          <w:rFonts w:hint="eastAsia" w:ascii="宋体" w:hAnsi="宋体" w:cs="宋体"/>
          <w:szCs w:val="21"/>
        </w:rPr>
        <w:t>在上述 6 个月的期限内，如合同设备经过考核达到或视为达到技术性能考核指标，则买卖双方应按照第 6.4.1 项的约定签署合同设备验收证书。</w:t>
      </w:r>
    </w:p>
    <w:p>
      <w:pPr>
        <w:spacing w:line="360" w:lineRule="auto"/>
        <w:ind w:firstLine="411" w:firstLineChars="196"/>
        <w:rPr>
          <w:rFonts w:ascii="宋体" w:hAnsi="宋体" w:cs="宋体"/>
          <w:szCs w:val="21"/>
        </w:rPr>
      </w:pPr>
      <w:r>
        <w:rPr>
          <w:rFonts w:hint="eastAsia" w:ascii="宋体" w:hAnsi="宋体" w:cs="宋体"/>
          <w:szCs w:val="21"/>
        </w:rPr>
        <w:t>6.4.4 在第 6.4.2 项和第 6.4.3 项情形下，卖方也可单方签署验收款支付函提交买方，如果买 方在收到卖方签署的验收款支付函后 14 日内未向卖方提出书面异议，则验收款支付函自签署之日起生效。</w:t>
      </w:r>
    </w:p>
    <w:p>
      <w:pPr>
        <w:spacing w:line="360" w:lineRule="auto"/>
        <w:ind w:firstLine="411" w:firstLineChars="196"/>
        <w:rPr>
          <w:rFonts w:ascii="宋体" w:hAnsi="宋体" w:cs="宋体"/>
          <w:szCs w:val="21"/>
        </w:rPr>
      </w:pPr>
      <w:r>
        <w:rPr>
          <w:rFonts w:hint="eastAsia" w:ascii="宋体" w:hAnsi="宋体" w:cs="宋体"/>
          <w:szCs w:val="21"/>
        </w:rPr>
        <w:t>6.4.5 合同设备验收证书的签署不能免除卖方在质量保证期内对合同设备应承担的保证责任。</w:t>
      </w:r>
    </w:p>
    <w:p>
      <w:pPr>
        <w:pStyle w:val="5"/>
        <w:keepNext/>
        <w:keepLines/>
        <w:pageBreakBefore w:val="0"/>
        <w:widowControl/>
        <w:kinsoku/>
        <w:wordWrap/>
        <w:overflowPunct/>
        <w:topLinePunct w:val="0"/>
        <w:autoSpaceDE/>
        <w:autoSpaceDN/>
        <w:bidi w:val="0"/>
        <w:adjustRightInd/>
        <w:snapToGrid/>
        <w:spacing w:line="15" w:lineRule="auto"/>
        <w:textAlignment w:val="auto"/>
        <w:rPr>
          <w:rFonts w:hint="eastAsia"/>
          <w:sz w:val="24"/>
          <w:szCs w:val="24"/>
        </w:rPr>
      </w:pPr>
      <w:r>
        <w:rPr>
          <w:rFonts w:hint="eastAsia"/>
          <w:sz w:val="24"/>
          <w:szCs w:val="24"/>
        </w:rPr>
        <w:t>7. 技术服务</w:t>
      </w:r>
    </w:p>
    <w:p>
      <w:pPr>
        <w:spacing w:line="360" w:lineRule="auto"/>
        <w:ind w:firstLine="411" w:firstLineChars="196"/>
        <w:rPr>
          <w:rFonts w:ascii="宋体" w:hAnsi="宋体" w:cs="宋体"/>
          <w:szCs w:val="21"/>
        </w:rPr>
      </w:pPr>
      <w:r>
        <w:rPr>
          <w:rFonts w:hint="eastAsia" w:ascii="宋体" w:hAnsi="宋体" w:cs="宋体"/>
          <w:szCs w:val="21"/>
        </w:rPr>
        <w:t>7.1 卖方应派遣技术熟练、称职的技术人员到施工场地为买方提供技术服务。卖方的技术服务应符合合同的约定。</w:t>
      </w:r>
    </w:p>
    <w:p>
      <w:pPr>
        <w:spacing w:line="360" w:lineRule="auto"/>
        <w:ind w:firstLine="411" w:firstLineChars="196"/>
        <w:rPr>
          <w:rFonts w:ascii="宋体" w:hAnsi="宋体" w:cs="宋体"/>
          <w:szCs w:val="21"/>
        </w:rPr>
      </w:pPr>
      <w:r>
        <w:rPr>
          <w:rFonts w:hint="eastAsia" w:ascii="宋体" w:hAnsi="宋体" w:cs="宋体"/>
          <w:szCs w:val="21"/>
        </w:rPr>
        <w:t>7.2 买方应免费为卖方技术人员提供工作条件及便利，包括但不限于必要的办公场所、技术资料及出入许可等。除专用合同条款另有约定外，卖方技术人员的交通、食宿费用由卖方承担。</w:t>
      </w:r>
    </w:p>
    <w:p>
      <w:pPr>
        <w:spacing w:line="360" w:lineRule="auto"/>
        <w:ind w:firstLine="411" w:firstLineChars="196"/>
        <w:rPr>
          <w:rFonts w:ascii="宋体" w:hAnsi="宋体" w:cs="宋体"/>
          <w:szCs w:val="21"/>
        </w:rPr>
      </w:pPr>
      <w:r>
        <w:rPr>
          <w:rFonts w:hint="eastAsia" w:ascii="宋体" w:hAnsi="宋体" w:cs="宋体"/>
          <w:szCs w:val="21"/>
        </w:rPr>
        <w:t>7.3 卖方技术人员应遵守买方施工现场的各项规章制度和安全操作规程，并服从买方的现场管理。</w:t>
      </w:r>
    </w:p>
    <w:p>
      <w:pPr>
        <w:spacing w:line="360" w:lineRule="auto"/>
        <w:ind w:firstLine="411" w:firstLineChars="196"/>
        <w:rPr>
          <w:rFonts w:hint="eastAsia" w:ascii="宋体" w:hAnsi="宋体" w:cs="宋体"/>
          <w:szCs w:val="21"/>
        </w:rPr>
      </w:pPr>
      <w:r>
        <w:rPr>
          <w:rFonts w:hint="eastAsia" w:ascii="宋体" w:hAnsi="宋体" w:cs="宋体"/>
          <w:szCs w:val="21"/>
        </w:rPr>
        <w:t>7.4 如果任何技术人员不合格，买方有权要求卖方撤换，因撤换而产生的费用应由卖方承担。在不影响技术服务并且征得买方同意的条件下，卖方也可自负费用更换其技术人员。</w:t>
      </w:r>
    </w:p>
    <w:p>
      <w:pPr>
        <w:spacing w:line="360" w:lineRule="auto"/>
        <w:ind w:firstLine="411" w:firstLineChars="196"/>
        <w:rPr>
          <w:rFonts w:hint="eastAsia" w:ascii="宋体" w:hAnsi="宋体" w:cs="宋体"/>
          <w:szCs w:val="21"/>
        </w:rPr>
      </w:pPr>
    </w:p>
    <w:p>
      <w:pPr>
        <w:spacing w:line="360" w:lineRule="auto"/>
        <w:ind w:firstLine="411" w:firstLineChars="196"/>
        <w:rPr>
          <w:rFonts w:hint="eastAsia" w:ascii="宋体" w:hAnsi="宋体" w:cs="宋体"/>
          <w:szCs w:val="21"/>
        </w:rPr>
      </w:pPr>
    </w:p>
    <w:p>
      <w:pPr>
        <w:pStyle w:val="5"/>
        <w:keepNext/>
        <w:keepLines/>
        <w:pageBreakBefore w:val="0"/>
        <w:widowControl/>
        <w:kinsoku/>
        <w:wordWrap/>
        <w:overflowPunct/>
        <w:topLinePunct w:val="0"/>
        <w:autoSpaceDE/>
        <w:autoSpaceDN/>
        <w:bidi w:val="0"/>
        <w:adjustRightInd/>
        <w:snapToGrid/>
        <w:spacing w:line="15" w:lineRule="auto"/>
        <w:textAlignment w:val="auto"/>
        <w:rPr>
          <w:rFonts w:hint="eastAsia"/>
          <w:sz w:val="24"/>
          <w:szCs w:val="24"/>
        </w:rPr>
      </w:pPr>
      <w:r>
        <w:rPr>
          <w:rFonts w:hint="eastAsia"/>
          <w:sz w:val="24"/>
          <w:szCs w:val="24"/>
        </w:rPr>
        <w:t>8. 质量保证期</w:t>
      </w:r>
    </w:p>
    <w:p>
      <w:pPr>
        <w:spacing w:line="360" w:lineRule="auto"/>
        <w:ind w:firstLine="411" w:firstLineChars="196"/>
        <w:rPr>
          <w:rFonts w:ascii="宋体" w:hAnsi="宋体" w:cs="宋体"/>
          <w:szCs w:val="21"/>
        </w:rPr>
      </w:pPr>
      <w:r>
        <w:rPr>
          <w:rFonts w:hint="eastAsia" w:ascii="宋体" w:hAnsi="宋体" w:cs="宋体"/>
          <w:szCs w:val="21"/>
        </w:rPr>
        <w:t>8.1 除专用合同条款和（或）供货要求等合同文件另有约定外，合同设备整体质量保证期为验收之日起 12 个月。如对合同设备中关键部件的质量保证期有特殊要求的，买卖双方可在专用合同条款中约定。在合同第 6.4.2 项情形下，无论合同设备何时验收，其质量保证期最长为签署验收款支付函后 12 个月。在合同第 6.4.3 项情形下，无论合同设备何时验收，其质量保证期最长为签署验收款支付函后 6 个月。</w:t>
      </w:r>
    </w:p>
    <w:p>
      <w:pPr>
        <w:spacing w:line="360" w:lineRule="auto"/>
        <w:ind w:firstLine="411" w:firstLineChars="196"/>
        <w:rPr>
          <w:rFonts w:ascii="宋体" w:hAnsi="宋体" w:cs="宋体"/>
          <w:szCs w:val="21"/>
        </w:rPr>
      </w:pPr>
      <w:r>
        <w:rPr>
          <w:rFonts w:hint="eastAsia" w:ascii="宋体" w:hAnsi="宋体" w:cs="宋体"/>
          <w:szCs w:val="21"/>
        </w:rPr>
        <w:t>8.2 在质量保证期内如果合同设备出现故障，卖方应自负费用提供质保期服务，对相关合同设备进行修理或更换以消除故障。更换的合同设备和（或）关键部件的质量保证期应重新计算。但如果合同设备的故障是由于买方原因造成的，则对合同设备进行修理和更换的费用应由买方承担。</w:t>
      </w:r>
    </w:p>
    <w:p>
      <w:pPr>
        <w:spacing w:line="360" w:lineRule="auto"/>
        <w:ind w:firstLine="411" w:firstLineChars="196"/>
        <w:rPr>
          <w:rFonts w:ascii="宋体" w:hAnsi="宋体" w:cs="宋体"/>
          <w:szCs w:val="21"/>
        </w:rPr>
      </w:pPr>
      <w:r>
        <w:rPr>
          <w:rFonts w:hint="eastAsia" w:ascii="宋体" w:hAnsi="宋体" w:cs="宋体"/>
          <w:szCs w:val="21"/>
        </w:rPr>
        <w:t>8.3  质量保证期届满后，买方应在 7 日内或专用合同条款另行约定的时间内向卖方出具合同设备的质量保证期届满证书。</w:t>
      </w:r>
    </w:p>
    <w:p>
      <w:pPr>
        <w:spacing w:line="360" w:lineRule="auto"/>
        <w:ind w:firstLine="411" w:firstLineChars="196"/>
        <w:rPr>
          <w:rFonts w:ascii="宋体" w:hAnsi="宋体" w:cs="宋体"/>
          <w:szCs w:val="21"/>
        </w:rPr>
      </w:pPr>
      <w:r>
        <w:rPr>
          <w:rFonts w:hint="eastAsia" w:ascii="宋体" w:hAnsi="宋体" w:cs="宋体"/>
          <w:szCs w:val="21"/>
        </w:rPr>
        <w:t>8.4  在合同第 6.4.2 项情形下，如在验收款支付函签署后 12 个月内由于买方原因合同设备仍未能达到技术性能考核指标，则买卖双方应在该 12 个月届满后 7 日内或专用合同条款另行约定的时间内签署结清款支付函。</w:t>
      </w:r>
    </w:p>
    <w:p>
      <w:pPr>
        <w:spacing w:line="360" w:lineRule="auto"/>
        <w:ind w:firstLine="411" w:firstLineChars="196"/>
        <w:rPr>
          <w:rFonts w:ascii="宋体" w:hAnsi="宋体" w:cs="宋体"/>
          <w:szCs w:val="21"/>
        </w:rPr>
      </w:pPr>
      <w:r>
        <w:rPr>
          <w:rFonts w:hint="eastAsia" w:ascii="宋体" w:hAnsi="宋体" w:cs="宋体"/>
          <w:szCs w:val="21"/>
        </w:rPr>
        <w:t>8.5  在合同第 6.4.3 项情形下，如在验收款支付函签署后 6 个月内由于买方原因合同设备仍 未进行考核或仍未达到技术性能考核指标，则买卖双方应在该 6 个月届满后 7 日内或专用合同条款另行约定的时间内签署结清款支付函。</w:t>
      </w:r>
    </w:p>
    <w:p>
      <w:pPr>
        <w:spacing w:line="360" w:lineRule="auto"/>
        <w:ind w:firstLine="411" w:firstLineChars="196"/>
        <w:rPr>
          <w:rFonts w:ascii="宋体" w:hAnsi="宋体" w:cs="宋体"/>
          <w:szCs w:val="21"/>
        </w:rPr>
      </w:pPr>
      <w:r>
        <w:rPr>
          <w:rFonts w:hint="eastAsia" w:ascii="宋体" w:hAnsi="宋体" w:cs="宋体"/>
          <w:szCs w:val="21"/>
        </w:rPr>
        <w:t>8.6  在第 8.4 款和第 8.5 款情形下，卖方也可单方签署结清款支付函提交买方，如果买方在 收到卖方签署的结清款支付函后 14 日内未向卖方提出书面异议，则结清款支付函自签署之日起生效。</w:t>
      </w:r>
    </w:p>
    <w:p>
      <w:pPr>
        <w:pStyle w:val="5"/>
        <w:keepNext/>
        <w:keepLines/>
        <w:pageBreakBefore w:val="0"/>
        <w:widowControl/>
        <w:kinsoku/>
        <w:wordWrap/>
        <w:overflowPunct/>
        <w:topLinePunct w:val="0"/>
        <w:autoSpaceDE/>
        <w:autoSpaceDN/>
        <w:bidi w:val="0"/>
        <w:adjustRightInd/>
        <w:snapToGrid/>
        <w:spacing w:line="15" w:lineRule="auto"/>
        <w:textAlignment w:val="auto"/>
        <w:rPr>
          <w:rFonts w:hint="eastAsia"/>
          <w:sz w:val="24"/>
          <w:szCs w:val="24"/>
        </w:rPr>
      </w:pPr>
      <w:r>
        <w:rPr>
          <w:rFonts w:hint="eastAsia"/>
          <w:sz w:val="24"/>
          <w:szCs w:val="24"/>
        </w:rPr>
        <w:t>9. 质保期服务</w:t>
      </w:r>
    </w:p>
    <w:p>
      <w:pPr>
        <w:spacing w:line="360" w:lineRule="auto"/>
        <w:ind w:firstLine="411" w:firstLineChars="196"/>
        <w:rPr>
          <w:rFonts w:ascii="宋体" w:hAnsi="宋体" w:cs="宋体"/>
          <w:szCs w:val="21"/>
        </w:rPr>
      </w:pPr>
      <w:r>
        <w:rPr>
          <w:rFonts w:hint="eastAsia" w:ascii="宋体" w:hAnsi="宋体" w:cs="宋体"/>
          <w:szCs w:val="21"/>
        </w:rPr>
        <w:t>9.1 卖方应为质保期服务配备充足的技术人员、工具和备件并保证提供的联系方式畅通。除专用合同条款和（或）供货要求等合同文件另有约定外，卖方应在收到买方通知后 24 小时内做出响应，如需卖方到合同设备现场，卖方应在收到买方通知后 48 小时内到达，并在到达后 7 日内解决合同设备的故障（重大故障除外）。如果卖方未在上述时间内作出响应，则买方有权自行或委托他人解决相关问题或查找和解决合同设备的故障，卖方应承担由此发生的全部费用。</w:t>
      </w:r>
    </w:p>
    <w:p>
      <w:pPr>
        <w:spacing w:line="360" w:lineRule="auto"/>
        <w:ind w:firstLine="411" w:firstLineChars="196"/>
        <w:rPr>
          <w:rFonts w:ascii="宋体" w:hAnsi="宋体" w:cs="宋体"/>
          <w:szCs w:val="21"/>
        </w:rPr>
      </w:pPr>
      <w:r>
        <w:rPr>
          <w:rFonts w:hint="eastAsia" w:ascii="宋体" w:hAnsi="宋体" w:cs="宋体"/>
          <w:szCs w:val="21"/>
        </w:rPr>
        <w:t>9.2 如卖方技术人员需到合同设备现场进行质保期服务，则买方应免费为卖方技术人员提供工作条件及便利，包括但不限于必要的办公场所、技术资料及出入许可等。除专用合同条款另有约定外，卖方技术人员的交通、食宿费用由卖方承担。卖方技术人员应遵守买方施工现场的各项规章制度和安全操作规程，并服从买方的现场管理。</w:t>
      </w:r>
    </w:p>
    <w:p>
      <w:pPr>
        <w:spacing w:line="360" w:lineRule="auto"/>
        <w:ind w:firstLine="411" w:firstLineChars="196"/>
        <w:rPr>
          <w:rFonts w:ascii="宋体" w:hAnsi="宋体" w:cs="宋体"/>
          <w:szCs w:val="21"/>
        </w:rPr>
      </w:pPr>
      <w:r>
        <w:rPr>
          <w:rFonts w:hint="eastAsia" w:ascii="宋体" w:hAnsi="宋体" w:cs="宋体"/>
          <w:szCs w:val="21"/>
        </w:rPr>
        <w:t>9.3 如果任何技术人员不合格，买方有权要求卖方撤换，因撤换而产生的费用应由卖方承担。在不影响质保期服务并且征得买方同意的条件下，卖方也可自负费用更换其技术人员。</w:t>
      </w:r>
    </w:p>
    <w:p>
      <w:pPr>
        <w:spacing w:line="360" w:lineRule="auto"/>
        <w:ind w:firstLine="411" w:firstLineChars="196"/>
        <w:rPr>
          <w:rFonts w:ascii="宋体" w:hAnsi="宋体" w:cs="宋体"/>
          <w:szCs w:val="21"/>
        </w:rPr>
      </w:pPr>
      <w:r>
        <w:rPr>
          <w:rFonts w:hint="eastAsia" w:ascii="宋体" w:hAnsi="宋体" w:cs="宋体"/>
          <w:szCs w:val="21"/>
        </w:rPr>
        <w:t>9.4 除专用合同条款另有约定外，卖方应就在施工现场进行质保期服务的情况进行记录，记载合同设备故障发生的时间、原因及解决情况等，由买方签字确认，并在质量保证期结束后提交给买方。</w:t>
      </w:r>
    </w:p>
    <w:p>
      <w:pPr>
        <w:pStyle w:val="5"/>
        <w:keepNext/>
        <w:keepLines/>
        <w:pageBreakBefore w:val="0"/>
        <w:widowControl/>
        <w:kinsoku/>
        <w:wordWrap/>
        <w:overflowPunct/>
        <w:topLinePunct w:val="0"/>
        <w:autoSpaceDE/>
        <w:autoSpaceDN/>
        <w:bidi w:val="0"/>
        <w:adjustRightInd/>
        <w:snapToGrid/>
        <w:spacing w:line="15" w:lineRule="auto"/>
        <w:textAlignment w:val="auto"/>
        <w:rPr>
          <w:rFonts w:hint="eastAsia"/>
          <w:sz w:val="24"/>
          <w:szCs w:val="24"/>
        </w:rPr>
      </w:pPr>
      <w:r>
        <w:rPr>
          <w:rFonts w:hint="eastAsia"/>
          <w:sz w:val="24"/>
          <w:szCs w:val="24"/>
        </w:rPr>
        <w:t>10. 履约保证金</w:t>
      </w:r>
    </w:p>
    <w:p>
      <w:pPr>
        <w:spacing w:line="360" w:lineRule="auto"/>
        <w:ind w:firstLine="411" w:firstLineChars="196"/>
        <w:rPr>
          <w:rFonts w:ascii="宋体" w:hAnsi="宋体" w:cs="宋体"/>
          <w:szCs w:val="21"/>
        </w:rPr>
      </w:pPr>
      <w:r>
        <w:rPr>
          <w:rFonts w:hint="eastAsia" w:ascii="宋体" w:hAnsi="宋体" w:cs="宋体"/>
          <w:szCs w:val="21"/>
        </w:rPr>
        <w:t>除专用合同条款另有约定外，履约保证金自合同生效之日起生效，在合同设备验收证书或验收款支付函签署之日起 28 日后失效。如果卖方不履行合同约定的义务或其履行不符合合同的约定，买方有权扣划相应金额的履约保证金。</w:t>
      </w:r>
    </w:p>
    <w:p>
      <w:pPr>
        <w:pStyle w:val="5"/>
        <w:keepNext/>
        <w:keepLines/>
        <w:pageBreakBefore w:val="0"/>
        <w:widowControl/>
        <w:kinsoku/>
        <w:wordWrap/>
        <w:overflowPunct/>
        <w:topLinePunct w:val="0"/>
        <w:autoSpaceDE/>
        <w:autoSpaceDN/>
        <w:bidi w:val="0"/>
        <w:adjustRightInd/>
        <w:snapToGrid/>
        <w:spacing w:line="15"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11. </w:t>
      </w:r>
      <w:r>
        <w:rPr>
          <w:rFonts w:hint="eastAsia" w:ascii="宋体" w:hAnsi="宋体" w:eastAsia="宋体" w:cs="宋体"/>
          <w:sz w:val="24"/>
          <w:szCs w:val="24"/>
        </w:rPr>
        <w:t>保证</w:t>
      </w:r>
    </w:p>
    <w:p>
      <w:pPr>
        <w:spacing w:line="360" w:lineRule="auto"/>
        <w:ind w:firstLine="411" w:firstLineChars="196"/>
        <w:rPr>
          <w:rFonts w:ascii="宋体" w:hAnsi="宋体" w:cs="宋体"/>
          <w:szCs w:val="21"/>
        </w:rPr>
      </w:pPr>
      <w:r>
        <w:rPr>
          <w:rFonts w:hint="eastAsia" w:ascii="宋体" w:hAnsi="宋体" w:cs="宋体"/>
          <w:szCs w:val="21"/>
        </w:rPr>
        <w:t>11.1 卖方保证其具有完全的能力履行本合同项下的全部义务。</w:t>
      </w:r>
    </w:p>
    <w:p>
      <w:pPr>
        <w:spacing w:line="360" w:lineRule="auto"/>
        <w:ind w:firstLine="411" w:firstLineChars="196"/>
        <w:rPr>
          <w:rFonts w:ascii="宋体" w:hAnsi="宋体" w:cs="宋体"/>
          <w:szCs w:val="21"/>
        </w:rPr>
      </w:pPr>
      <w:r>
        <w:rPr>
          <w:rFonts w:hint="eastAsia" w:ascii="宋体" w:hAnsi="宋体" w:cs="宋体"/>
          <w:szCs w:val="21"/>
        </w:rPr>
        <w:t>11.2 卖方保证其所提供的合同设备及对合同的履行符合所有应适用的法律、行政法规、地方性法规、自治条例和单行条例、规章及其他规范性文件的强制性规定。</w:t>
      </w:r>
    </w:p>
    <w:p>
      <w:pPr>
        <w:spacing w:line="360" w:lineRule="auto"/>
        <w:ind w:firstLine="411" w:firstLineChars="196"/>
        <w:rPr>
          <w:rFonts w:ascii="宋体" w:hAnsi="宋体" w:cs="宋体"/>
          <w:szCs w:val="21"/>
        </w:rPr>
      </w:pPr>
      <w:r>
        <w:rPr>
          <w:rFonts w:hint="eastAsia" w:ascii="宋体" w:hAnsi="宋体" w:cs="宋体"/>
          <w:szCs w:val="21"/>
        </w:rPr>
        <w:t>11.3 卖方保证其对合同设备的销售不损害任何第三方的合法权益和社会公众利益。任何第三方不会因卖方原因而基于所有权、抵押权、留置权或其他任何权利或事由对合同设备主张权利。</w:t>
      </w:r>
    </w:p>
    <w:p>
      <w:pPr>
        <w:spacing w:line="360" w:lineRule="auto"/>
        <w:ind w:firstLine="411" w:firstLineChars="196"/>
        <w:rPr>
          <w:rFonts w:ascii="宋体" w:hAnsi="宋体" w:cs="宋体"/>
          <w:szCs w:val="21"/>
        </w:rPr>
      </w:pPr>
      <w:r>
        <w:rPr>
          <w:rFonts w:hint="eastAsia" w:ascii="宋体" w:hAnsi="宋体" w:cs="宋体"/>
          <w:szCs w:val="21"/>
        </w:rPr>
        <w:t>11.4 卖方保证合同设备符合合同约定的规格、标准、技术性能考核指标等，能够安全和稳定地运行，且合同设备（包括全部部件）全新、完整、未使用过，除非专用合同条款和（或）供货要求等合同文件另有约定。</w:t>
      </w:r>
    </w:p>
    <w:p>
      <w:pPr>
        <w:spacing w:line="360" w:lineRule="auto"/>
        <w:ind w:firstLine="411" w:firstLineChars="196"/>
        <w:rPr>
          <w:rFonts w:ascii="宋体" w:hAnsi="宋体" w:cs="宋体"/>
          <w:szCs w:val="21"/>
        </w:rPr>
      </w:pPr>
      <w:r>
        <w:rPr>
          <w:rFonts w:hint="eastAsia" w:ascii="宋体" w:hAnsi="宋体" w:cs="宋体"/>
          <w:szCs w:val="21"/>
        </w:rPr>
        <w:t>11.5 卖方保证，卖方所提供的技术资料完整、清晰、准确，符合合同约定并且能够满足合同设备的安装、调试、考核、操作以及维修和保养的需要。</w:t>
      </w:r>
    </w:p>
    <w:p>
      <w:pPr>
        <w:spacing w:line="360" w:lineRule="auto"/>
        <w:ind w:firstLine="411" w:firstLineChars="196"/>
        <w:rPr>
          <w:rFonts w:ascii="宋体" w:hAnsi="宋体" w:cs="宋体"/>
          <w:szCs w:val="21"/>
        </w:rPr>
      </w:pPr>
      <w:r>
        <w:rPr>
          <w:rFonts w:hint="eastAsia" w:ascii="宋体" w:hAnsi="宋体" w:cs="宋体"/>
          <w:szCs w:val="21"/>
        </w:rPr>
        <w:t>11.6 卖方保证合同范围内提供的备品备件能够满足合同设备在质量保证期结束前正常运行及维修的需要，如在质量保证期结束前因卖方原因出现备品备件短缺影响合同设备正常运行的，卖方应免费提供。</w:t>
      </w:r>
    </w:p>
    <w:p>
      <w:pPr>
        <w:spacing w:line="360" w:lineRule="auto"/>
        <w:ind w:firstLine="411" w:firstLineChars="196"/>
        <w:rPr>
          <w:rFonts w:ascii="宋体" w:hAnsi="宋体" w:cs="宋体"/>
          <w:szCs w:val="21"/>
        </w:rPr>
      </w:pPr>
      <w:r>
        <w:rPr>
          <w:rFonts w:hint="eastAsia" w:ascii="宋体" w:hAnsi="宋体" w:cs="宋体"/>
          <w:szCs w:val="21"/>
        </w:rPr>
        <w:t>11.7 除专用合同条款和（或）供货要求等合同文件另有约定外，如果在合同设备设计使用寿命期内发生合同项下备品备件停止生产的情况，卖方应事先将拟停止生产的计划通知买方，使买方有足够的时间考虑备品备件的需求量。根据买方要求，卖方应：</w:t>
      </w:r>
    </w:p>
    <w:p>
      <w:pPr>
        <w:spacing w:line="360" w:lineRule="auto"/>
        <w:ind w:firstLine="411" w:firstLineChars="196"/>
        <w:rPr>
          <w:rFonts w:ascii="宋体" w:hAnsi="宋体" w:cs="宋体"/>
          <w:szCs w:val="21"/>
        </w:rPr>
      </w:pPr>
      <w:r>
        <w:rPr>
          <w:rFonts w:hint="eastAsia" w:ascii="宋体" w:hAnsi="宋体" w:cs="宋体"/>
          <w:szCs w:val="21"/>
        </w:rPr>
        <w:t>（1）以不高于同期市场价格或其向任何第三方销售同类产品的价格提供合同设备正常运行所需的全部备品备件。</w:t>
      </w:r>
    </w:p>
    <w:p>
      <w:pPr>
        <w:spacing w:line="360" w:lineRule="auto"/>
        <w:ind w:firstLine="411" w:firstLineChars="196"/>
        <w:rPr>
          <w:rFonts w:ascii="宋体" w:hAnsi="宋体" w:cs="宋体"/>
          <w:szCs w:val="21"/>
        </w:rPr>
      </w:pPr>
      <w:r>
        <w:rPr>
          <w:rFonts w:hint="eastAsia" w:ascii="宋体" w:hAnsi="宋体" w:cs="宋体"/>
          <w:szCs w:val="21"/>
        </w:rPr>
        <w:t>（2）免费提供可供买方或第三方制造停产备品备件所需的全部技术资料，以便买方持续获得上述备品备件以满足合同设备在寿命期内正常运行的需要。卖方保证买方或买方委托的第三方制造及买方使用这些备品备件不侵犯任何人的知识产权。</w:t>
      </w:r>
    </w:p>
    <w:p>
      <w:pPr>
        <w:spacing w:line="360" w:lineRule="auto"/>
        <w:ind w:firstLine="411" w:firstLineChars="196"/>
        <w:rPr>
          <w:rFonts w:ascii="宋体" w:hAnsi="宋体" w:cs="宋体"/>
          <w:szCs w:val="21"/>
        </w:rPr>
      </w:pPr>
      <w:r>
        <w:rPr>
          <w:rFonts w:hint="eastAsia" w:ascii="宋体" w:hAnsi="宋体" w:cs="宋体"/>
          <w:szCs w:val="21"/>
        </w:rPr>
        <w:t>11.8  卖方保证，在合同设备设计使用寿命期内，如果卖方发现合同设备由于设计、制造、标识等原因存在足以危及人身、财产安全的缺陷，卖方将及时通知买方并及时采取修正或者补 充标识、修理、更换等措施消除缺陷。</w:t>
      </w:r>
    </w:p>
    <w:p>
      <w:pPr>
        <w:pStyle w:val="5"/>
        <w:keepNext/>
        <w:keepLines/>
        <w:pageBreakBefore w:val="0"/>
        <w:widowControl/>
        <w:kinsoku/>
        <w:wordWrap/>
        <w:overflowPunct/>
        <w:topLinePunct w:val="0"/>
        <w:autoSpaceDE/>
        <w:autoSpaceDN/>
        <w:bidi w:val="0"/>
        <w:adjustRightInd/>
        <w:snapToGrid/>
        <w:spacing w:line="15"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 知识产权</w:t>
      </w:r>
    </w:p>
    <w:p>
      <w:pPr>
        <w:spacing w:line="360" w:lineRule="auto"/>
        <w:ind w:firstLine="411" w:firstLineChars="196"/>
        <w:rPr>
          <w:rFonts w:ascii="宋体" w:hAnsi="宋体" w:cs="宋体"/>
        </w:rPr>
      </w:pPr>
      <w:r>
        <w:rPr>
          <w:rFonts w:hint="eastAsia" w:ascii="宋体" w:hAnsi="宋体" w:cs="宋体"/>
        </w:rPr>
        <w:t>12.1  买方在履行合同过程中提供给卖方的全部图纸、文件和其他含有数据和信息的资料，其知识产权属于买方。</w:t>
      </w:r>
    </w:p>
    <w:p>
      <w:pPr>
        <w:spacing w:line="360" w:lineRule="auto"/>
        <w:ind w:firstLine="411" w:firstLineChars="196"/>
        <w:rPr>
          <w:rFonts w:ascii="宋体" w:hAnsi="宋体" w:cs="宋体"/>
        </w:rPr>
      </w:pPr>
      <w:r>
        <w:rPr>
          <w:rFonts w:hint="eastAsia" w:ascii="宋体" w:hAnsi="宋体" w:cs="宋体"/>
        </w:rPr>
        <w:t>12.2 除专用合同条款另有约定外，买方不因签署和履行合同而享有卖方在履行合同过程中提供给买方的图纸、文件、配套软件、电子辅助程序和其他含有数据和信息的资料的知识产权。</w:t>
      </w:r>
    </w:p>
    <w:p>
      <w:pPr>
        <w:spacing w:line="360" w:lineRule="auto"/>
        <w:ind w:firstLine="411" w:firstLineChars="196"/>
        <w:rPr>
          <w:rFonts w:ascii="宋体" w:hAnsi="宋体" w:cs="宋体"/>
        </w:rPr>
      </w:pPr>
      <w:r>
        <w:rPr>
          <w:rFonts w:hint="eastAsia" w:ascii="宋体" w:hAnsi="宋体" w:cs="宋体"/>
        </w:rPr>
        <w:t>12.3 如合同设备涉及知识产权，则卖方保证买方在使用合同设备过程中免于受到第三方提出的有关知识产权侵权的主张、索赔或诉讼的伤害。</w:t>
      </w:r>
    </w:p>
    <w:p>
      <w:pPr>
        <w:spacing w:line="360" w:lineRule="auto"/>
        <w:ind w:firstLine="411" w:firstLineChars="196"/>
        <w:rPr>
          <w:rFonts w:ascii="宋体" w:hAnsi="宋体" w:cs="宋体"/>
        </w:rPr>
      </w:pPr>
      <w:r>
        <w:rPr>
          <w:rFonts w:hint="eastAsia" w:ascii="宋体" w:hAnsi="宋体" w:cs="宋体"/>
        </w:rPr>
        <w:t>12.4 如果买方收到任何第三方有关知识产权的主张、索赔或诉讼，卖方在收到买方通知后，应以买方名义并在买方的协助下，自负费用处理与第三方的索赔或诉讼，并赔偿买方因此发生的费用和遭受的损失。除专用合同条款另有约定外，如果卖方拒绝处理前述索赔或诉讼或在收 到买方通知后28 日内未作表示，买方可以自己的名义进行这些索赔或诉讼，因此发生的费用和遭受的损失均应由卖方承担。</w:t>
      </w:r>
    </w:p>
    <w:p>
      <w:pPr>
        <w:pStyle w:val="5"/>
        <w:keepNext/>
        <w:keepLines/>
        <w:pageBreakBefore w:val="0"/>
        <w:widowControl/>
        <w:kinsoku/>
        <w:wordWrap/>
        <w:overflowPunct/>
        <w:topLinePunct w:val="0"/>
        <w:autoSpaceDE/>
        <w:autoSpaceDN/>
        <w:bidi w:val="0"/>
        <w:adjustRightInd/>
        <w:snapToGrid/>
        <w:spacing w:line="15"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13. 保密</w:t>
      </w:r>
    </w:p>
    <w:p>
      <w:pPr>
        <w:spacing w:line="360" w:lineRule="auto"/>
        <w:ind w:firstLine="411" w:firstLineChars="196"/>
        <w:rPr>
          <w:rFonts w:ascii="宋体" w:hAnsi="宋体" w:cs="宋体"/>
          <w:szCs w:val="22"/>
        </w:rPr>
      </w:pPr>
      <w:r>
        <w:rPr>
          <w:rFonts w:hint="eastAsia" w:ascii="宋体" w:hAnsi="宋体" w:cs="宋体"/>
          <w:szCs w:val="22"/>
        </w:rPr>
        <w:t>合同双方应对因履行合同而取得的另一方当事人的信息、资料等予以保密。未经另一方当事人书面同意，任何一方均不得为与履行合同无关的目的使用或向第三方披露另一方当事人提供的信息、资料。</w:t>
      </w:r>
    </w:p>
    <w:p>
      <w:pPr>
        <w:spacing w:line="360" w:lineRule="auto"/>
        <w:ind w:firstLine="411" w:firstLineChars="196"/>
        <w:rPr>
          <w:rFonts w:ascii="宋体" w:hAnsi="宋体" w:cs="宋体"/>
          <w:szCs w:val="22"/>
        </w:rPr>
      </w:pPr>
      <w:r>
        <w:rPr>
          <w:rFonts w:hint="eastAsia" w:ascii="宋体" w:hAnsi="宋体" w:cs="宋体"/>
          <w:szCs w:val="22"/>
        </w:rPr>
        <w:t>合同当事人的保密义务不适用于下列信息：</w:t>
      </w:r>
    </w:p>
    <w:p>
      <w:pPr>
        <w:spacing w:line="360" w:lineRule="auto"/>
        <w:ind w:firstLine="411" w:firstLineChars="196"/>
        <w:rPr>
          <w:rFonts w:ascii="宋体" w:hAnsi="宋体" w:cs="宋体"/>
          <w:szCs w:val="22"/>
        </w:rPr>
      </w:pPr>
      <w:r>
        <w:rPr>
          <w:rFonts w:hint="eastAsia" w:ascii="宋体" w:hAnsi="宋体" w:cs="宋体"/>
          <w:szCs w:val="22"/>
        </w:rPr>
        <w:t>（1）非因接受信息一方的过失现在或以后进入公共领域的信息；</w:t>
      </w:r>
    </w:p>
    <w:p>
      <w:pPr>
        <w:spacing w:line="360" w:lineRule="auto"/>
        <w:ind w:firstLine="411" w:firstLineChars="196"/>
        <w:rPr>
          <w:rFonts w:ascii="宋体" w:hAnsi="宋体" w:cs="宋体"/>
          <w:szCs w:val="22"/>
        </w:rPr>
      </w:pPr>
      <w:r>
        <w:rPr>
          <w:rFonts w:hint="eastAsia" w:ascii="宋体" w:hAnsi="宋体" w:cs="宋体"/>
          <w:szCs w:val="22"/>
        </w:rPr>
        <w:t>（2）接受信息一方当事人合法地从第三方获得并且据其善意了解第三方也不对此承担保密义务的信息；</w:t>
      </w:r>
    </w:p>
    <w:p>
      <w:pPr>
        <w:spacing w:line="360" w:lineRule="auto"/>
        <w:ind w:firstLine="411" w:firstLineChars="196"/>
        <w:rPr>
          <w:rFonts w:ascii="宋体" w:hAnsi="宋体" w:cs="宋体"/>
          <w:szCs w:val="22"/>
        </w:rPr>
      </w:pPr>
      <w:r>
        <w:rPr>
          <w:rFonts w:hint="eastAsia" w:ascii="宋体" w:hAnsi="宋体" w:cs="宋体"/>
          <w:szCs w:val="22"/>
        </w:rPr>
        <w:t>（3）法律或法律的执行要求披露的信息。</w:t>
      </w:r>
    </w:p>
    <w:p>
      <w:pPr>
        <w:pStyle w:val="5"/>
        <w:keepNext/>
        <w:keepLines/>
        <w:pageBreakBefore w:val="0"/>
        <w:widowControl/>
        <w:kinsoku/>
        <w:wordWrap/>
        <w:overflowPunct/>
        <w:topLinePunct w:val="0"/>
        <w:autoSpaceDE/>
        <w:autoSpaceDN/>
        <w:bidi w:val="0"/>
        <w:adjustRightInd/>
        <w:snapToGrid/>
        <w:spacing w:line="15"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 违约责任</w:t>
      </w:r>
    </w:p>
    <w:p>
      <w:pPr>
        <w:spacing w:line="360" w:lineRule="auto"/>
        <w:ind w:firstLine="411" w:firstLineChars="196"/>
        <w:rPr>
          <w:rFonts w:ascii="宋体" w:hAnsi="宋体" w:cs="宋体"/>
          <w:szCs w:val="22"/>
        </w:rPr>
      </w:pPr>
      <w:r>
        <w:rPr>
          <w:rFonts w:hint="eastAsia" w:ascii="宋体" w:hAnsi="宋体" w:cs="宋体"/>
          <w:szCs w:val="22"/>
        </w:rPr>
        <w:t>14.1 合同一方不履行合同义务、履行合同义务不符合约定或者违反合同项下所作保证的，应向对方承担继续履行、采取修理、更换、退货等补救措施或者赔偿损失等违约责任。</w:t>
      </w:r>
    </w:p>
    <w:p>
      <w:pPr>
        <w:spacing w:line="360" w:lineRule="auto"/>
        <w:ind w:firstLine="411" w:firstLineChars="196"/>
        <w:rPr>
          <w:rFonts w:ascii="宋体" w:hAnsi="宋体" w:cs="宋体"/>
          <w:szCs w:val="22"/>
        </w:rPr>
      </w:pPr>
      <w:r>
        <w:rPr>
          <w:rFonts w:hint="eastAsia" w:ascii="宋体" w:hAnsi="宋体" w:cs="宋体"/>
          <w:szCs w:val="22"/>
        </w:rPr>
        <w:t>14.2 卖方未能按时交付合同设备（包括仅迟延交付技术资料但足以导致合同设备安装、调试、考核、验收工作推迟的）的，应向买方支付迟延交付违约金。除专用合同条款另有约定外，迟延交付违约金的计算方法如下：</w:t>
      </w:r>
    </w:p>
    <w:p>
      <w:pPr>
        <w:spacing w:line="360" w:lineRule="auto"/>
        <w:ind w:firstLine="411" w:firstLineChars="196"/>
        <w:rPr>
          <w:rFonts w:ascii="宋体" w:hAnsi="宋体" w:cs="宋体"/>
          <w:szCs w:val="22"/>
        </w:rPr>
      </w:pPr>
      <w:r>
        <w:rPr>
          <w:rFonts w:hint="eastAsia" w:ascii="宋体" w:hAnsi="宋体" w:cs="宋体"/>
          <w:szCs w:val="22"/>
        </w:rPr>
        <w:t>（1）从迟交的第一周到第四周，每周迟延交付违约金为迟交合同设备价格的 0.5%；</w:t>
      </w:r>
    </w:p>
    <w:p>
      <w:pPr>
        <w:spacing w:line="360" w:lineRule="auto"/>
        <w:ind w:firstLine="411" w:firstLineChars="196"/>
        <w:rPr>
          <w:rFonts w:ascii="宋体" w:hAnsi="宋体" w:cs="宋体"/>
          <w:szCs w:val="22"/>
        </w:rPr>
      </w:pPr>
      <w:r>
        <w:rPr>
          <w:rFonts w:hint="eastAsia" w:ascii="宋体" w:hAnsi="宋体" w:cs="宋体"/>
          <w:szCs w:val="22"/>
        </w:rPr>
        <w:t>（2）从迟交的第五周到第八周，每周迟延交付违约金为迟交合同设备价格的 1%；</w:t>
      </w:r>
    </w:p>
    <w:p>
      <w:pPr>
        <w:spacing w:line="360" w:lineRule="auto"/>
        <w:ind w:firstLine="411" w:firstLineChars="196"/>
        <w:rPr>
          <w:rFonts w:ascii="宋体" w:hAnsi="宋体" w:cs="宋体"/>
          <w:szCs w:val="22"/>
        </w:rPr>
      </w:pPr>
      <w:r>
        <w:rPr>
          <w:rFonts w:hint="eastAsia" w:ascii="宋体" w:hAnsi="宋体" w:cs="宋体"/>
          <w:szCs w:val="22"/>
        </w:rPr>
        <w:t>（3）从迟交第九周起，每周迟延交付违约金为迟交合同设备价格的 1.5%。在计算迟延交付违约金时，迟交不足一周的按一周计算。迟延交付违约金的总额不得超过合同价格的 10%。迟延交付违约金的支付不能免除卖方继续交付相关合同设备的义务，但如迟延交付必然导致合同设备安装、调试、考核、验收工作推迟的，相关工作应相应顺延。</w:t>
      </w:r>
    </w:p>
    <w:p>
      <w:pPr>
        <w:spacing w:line="360" w:lineRule="auto"/>
        <w:ind w:firstLine="411" w:firstLineChars="196"/>
        <w:rPr>
          <w:rFonts w:ascii="宋体" w:hAnsi="宋体" w:cs="宋体"/>
          <w:szCs w:val="22"/>
        </w:rPr>
      </w:pPr>
      <w:r>
        <w:rPr>
          <w:rFonts w:hint="eastAsia" w:ascii="宋体" w:hAnsi="宋体" w:cs="宋体"/>
          <w:szCs w:val="22"/>
        </w:rPr>
        <w:t>14.3 买方未能按合同约定支付合同价款的，应向卖方支付延迟付款违约金。除专用合同条 款另有约定外，迟延付款违约金的计算方法如下：</w:t>
      </w:r>
    </w:p>
    <w:p>
      <w:pPr>
        <w:spacing w:line="360" w:lineRule="auto"/>
        <w:ind w:firstLine="411" w:firstLineChars="196"/>
        <w:rPr>
          <w:rFonts w:ascii="宋体" w:hAnsi="宋体" w:cs="宋体"/>
          <w:szCs w:val="22"/>
        </w:rPr>
      </w:pPr>
      <w:r>
        <w:rPr>
          <w:rFonts w:hint="eastAsia" w:ascii="宋体" w:hAnsi="宋体" w:cs="宋体"/>
          <w:szCs w:val="22"/>
        </w:rPr>
        <w:t>（1）从迟付的第一周到第四周，每周迟延付款违约金为迟延付款金额的 0.5%；</w:t>
      </w:r>
    </w:p>
    <w:p>
      <w:pPr>
        <w:spacing w:line="360" w:lineRule="auto"/>
        <w:ind w:firstLine="411" w:firstLineChars="196"/>
        <w:rPr>
          <w:rFonts w:ascii="宋体" w:hAnsi="宋体" w:cs="宋体"/>
          <w:szCs w:val="22"/>
        </w:rPr>
      </w:pPr>
      <w:r>
        <w:rPr>
          <w:rFonts w:hint="eastAsia" w:ascii="宋体" w:hAnsi="宋体" w:cs="宋体"/>
          <w:szCs w:val="22"/>
        </w:rPr>
        <w:t>（2）从迟付的第五周到第八周，每周迟延付款违约金为迟延付款金额的 1%；</w:t>
      </w:r>
    </w:p>
    <w:p>
      <w:pPr>
        <w:spacing w:line="360" w:lineRule="auto"/>
        <w:ind w:firstLine="411" w:firstLineChars="196"/>
        <w:rPr>
          <w:rFonts w:ascii="宋体" w:hAnsi="宋体" w:cs="宋体"/>
          <w:szCs w:val="22"/>
        </w:rPr>
      </w:pPr>
      <w:r>
        <w:rPr>
          <w:rFonts w:hint="eastAsia" w:ascii="宋体" w:hAnsi="宋体" w:cs="宋体"/>
          <w:szCs w:val="22"/>
        </w:rPr>
        <w:t>（3）从迟付第九周起，每周迟延付款违约金为迟延付款金额的 1.5%。 在计算迟延付款违约金时，迟付不足一周的按一周计算。迟延付款违约金的总额不得超过合同价格的 10%。</w:t>
      </w:r>
    </w:p>
    <w:p>
      <w:pPr>
        <w:pStyle w:val="5"/>
        <w:keepNext/>
        <w:keepLines/>
        <w:pageBreakBefore w:val="0"/>
        <w:widowControl/>
        <w:kinsoku/>
        <w:wordWrap/>
        <w:overflowPunct/>
        <w:topLinePunct w:val="0"/>
        <w:autoSpaceDE/>
        <w:autoSpaceDN/>
        <w:bidi w:val="0"/>
        <w:adjustRightInd/>
        <w:snapToGrid/>
        <w:spacing w:line="15"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15. 合同的解除</w:t>
      </w:r>
    </w:p>
    <w:p>
      <w:pPr>
        <w:spacing w:line="360" w:lineRule="auto"/>
        <w:ind w:firstLine="411" w:firstLineChars="196"/>
        <w:rPr>
          <w:rFonts w:ascii="宋体" w:hAnsi="宋体" w:cs="宋体"/>
          <w:szCs w:val="22"/>
        </w:rPr>
      </w:pPr>
      <w:r>
        <w:rPr>
          <w:rFonts w:hint="eastAsia" w:ascii="宋体" w:hAnsi="宋体" w:cs="宋体"/>
          <w:szCs w:val="22"/>
        </w:rPr>
        <w:t>除专用合同条款另有约定外，有下述情形之一，当事人可发出书面通知全部或部分地解除合同，合同自通知到达对方时全部或部分地解除：</w:t>
      </w:r>
    </w:p>
    <w:p>
      <w:pPr>
        <w:spacing w:line="360" w:lineRule="auto"/>
        <w:ind w:firstLine="411" w:firstLineChars="196"/>
        <w:rPr>
          <w:rFonts w:ascii="宋体" w:hAnsi="宋体" w:cs="宋体"/>
          <w:szCs w:val="22"/>
        </w:rPr>
      </w:pPr>
      <w:r>
        <w:rPr>
          <w:rFonts w:hint="eastAsia" w:ascii="宋体" w:hAnsi="宋体" w:cs="宋体"/>
          <w:szCs w:val="22"/>
        </w:rPr>
        <w:t>（1）卖方迟延交付合同设备超过 3 个月；</w:t>
      </w:r>
    </w:p>
    <w:p>
      <w:pPr>
        <w:spacing w:line="360" w:lineRule="auto"/>
        <w:ind w:firstLine="411" w:firstLineChars="196"/>
        <w:rPr>
          <w:rFonts w:ascii="宋体" w:hAnsi="宋体" w:cs="宋体"/>
          <w:szCs w:val="22"/>
        </w:rPr>
      </w:pPr>
      <w:r>
        <w:rPr>
          <w:rFonts w:hint="eastAsia" w:ascii="宋体" w:hAnsi="宋体" w:cs="宋体"/>
          <w:szCs w:val="22"/>
        </w:rPr>
        <w:t>（2）合同设备由于卖方原因三次考核均未能达到技术性能考核指标或在合同约定了或双方在考核中另行达成了最低技术性能考核指标时均未能达到最低技术性能考核指标，且买卖双方未就合同的后续履行协商达成一致；</w:t>
      </w:r>
    </w:p>
    <w:p>
      <w:pPr>
        <w:spacing w:line="360" w:lineRule="auto"/>
        <w:ind w:firstLine="411" w:firstLineChars="196"/>
        <w:rPr>
          <w:rFonts w:ascii="宋体" w:hAnsi="宋体" w:cs="宋体"/>
          <w:szCs w:val="22"/>
        </w:rPr>
      </w:pPr>
      <w:r>
        <w:rPr>
          <w:rFonts w:hint="eastAsia" w:ascii="宋体" w:hAnsi="宋体" w:cs="宋体"/>
          <w:szCs w:val="22"/>
        </w:rPr>
        <w:t>（3）买方迟延付款超过 3 个月；</w:t>
      </w:r>
    </w:p>
    <w:p>
      <w:pPr>
        <w:spacing w:line="360" w:lineRule="auto"/>
        <w:ind w:firstLine="411" w:firstLineChars="196"/>
        <w:rPr>
          <w:rFonts w:ascii="宋体" w:hAnsi="宋体" w:cs="宋体"/>
          <w:szCs w:val="22"/>
        </w:rPr>
      </w:pPr>
      <w:r>
        <w:rPr>
          <w:rFonts w:hint="eastAsia" w:ascii="宋体" w:hAnsi="宋体" w:cs="宋体"/>
          <w:szCs w:val="22"/>
        </w:rPr>
        <w:t>（4）合同一方当事人未能履行合同项下任何其它义务（细微义务除外），或在未事先征得另一方当事人同意的情况下，从事任何可能在实质上不利影响其履行合同能力的活动，经另一方当事人书面通知后 14 日内或在专用合同条款约定的其他期限内未能对其行为作出补救；</w:t>
      </w:r>
    </w:p>
    <w:p>
      <w:pPr>
        <w:spacing w:line="360" w:lineRule="auto"/>
        <w:ind w:firstLine="411" w:firstLineChars="196"/>
        <w:rPr>
          <w:rFonts w:ascii="宋体" w:hAnsi="宋体" w:cs="宋体"/>
          <w:szCs w:val="22"/>
        </w:rPr>
      </w:pPr>
      <w:r>
        <w:rPr>
          <w:rFonts w:hint="eastAsia" w:ascii="宋体" w:hAnsi="宋体" w:cs="宋体"/>
          <w:szCs w:val="22"/>
        </w:rPr>
        <w:t>（5）合同一方当事人出现破产、清算、资不抵债、成为失信被执行人等可能丧失履约能力的情形，且未能提供令对方满意的履约保证金。</w:t>
      </w:r>
    </w:p>
    <w:p>
      <w:pPr>
        <w:pStyle w:val="5"/>
        <w:keepNext/>
        <w:keepLines/>
        <w:pageBreakBefore w:val="0"/>
        <w:widowControl/>
        <w:kinsoku/>
        <w:wordWrap/>
        <w:overflowPunct/>
        <w:topLinePunct w:val="0"/>
        <w:autoSpaceDE/>
        <w:autoSpaceDN/>
        <w:bidi w:val="0"/>
        <w:adjustRightInd/>
        <w:snapToGrid/>
        <w:spacing w:line="15"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16. 不可抗力</w:t>
      </w:r>
    </w:p>
    <w:p>
      <w:pPr>
        <w:spacing w:line="360" w:lineRule="auto"/>
        <w:ind w:firstLine="411" w:firstLineChars="196"/>
        <w:rPr>
          <w:rFonts w:ascii="宋体" w:hAnsi="宋体" w:cs="宋体"/>
          <w:szCs w:val="22"/>
        </w:rPr>
      </w:pPr>
      <w:r>
        <w:rPr>
          <w:rFonts w:hint="eastAsia" w:ascii="宋体" w:hAnsi="宋体" w:cs="宋体"/>
          <w:szCs w:val="22"/>
        </w:rPr>
        <w:t>16.1 如果任何一方当事人受到不能预见、不能避免且不能克服的不可抗力事件的影响，例如战争、严重的火灾、台风、地震、洪水和专用合同条款约定的其他情形，而无法履行合同项下的任何义务，则受影响的一方当事人应立即将此类事件的发生通知另一方当事人，并应在不可抗力事件发生后 28 日内将有关当局或机构出具的证明文件提交给另一方当事人。</w:t>
      </w:r>
    </w:p>
    <w:p>
      <w:pPr>
        <w:spacing w:line="360" w:lineRule="auto"/>
        <w:ind w:firstLine="411" w:firstLineChars="196"/>
        <w:rPr>
          <w:rFonts w:ascii="宋体" w:hAnsi="宋体" w:cs="宋体"/>
          <w:szCs w:val="22"/>
        </w:rPr>
      </w:pPr>
      <w:r>
        <w:rPr>
          <w:rFonts w:hint="eastAsia" w:ascii="宋体" w:hAnsi="宋体" w:cs="宋体"/>
          <w:szCs w:val="22"/>
        </w:rPr>
        <w:t>16.2 受不可抗力事件影响的一方当事人对于不可抗力事件导致的任何合同义务的迟延履行或不能履行不承担违约责任。但该方当事人应尽快将不可抗力事件结束或消除的情况通知另 一方当事人。</w:t>
      </w:r>
    </w:p>
    <w:p>
      <w:pPr>
        <w:widowControl w:val="0"/>
        <w:spacing w:line="360" w:lineRule="auto"/>
        <w:ind w:firstLine="411" w:firstLineChars="196"/>
        <w:rPr>
          <w:rFonts w:ascii="宋体" w:hAnsi="宋体" w:cs="宋体"/>
          <w:szCs w:val="22"/>
        </w:rPr>
      </w:pPr>
      <w:r>
        <w:rPr>
          <w:rFonts w:hint="eastAsia" w:ascii="宋体" w:hAnsi="宋体" w:cs="宋体"/>
          <w:szCs w:val="22"/>
        </w:rPr>
        <w:t>16.3 双方当事人应在不可抗力事件结束或其影响消除后立即继续履行其合同义务，合同期限也应相应顺延。除专用合同条款另有约定外，如果不可抗力事件的影响持续超过 140 日，则任何一方当事人均有权以书面通知解除合同。</w:t>
      </w:r>
    </w:p>
    <w:p>
      <w:pPr>
        <w:pStyle w:val="5"/>
        <w:keepNext/>
        <w:keepLines/>
        <w:pageBreakBefore w:val="0"/>
        <w:widowControl/>
        <w:kinsoku/>
        <w:wordWrap/>
        <w:overflowPunct/>
        <w:topLinePunct w:val="0"/>
        <w:autoSpaceDE/>
        <w:autoSpaceDN/>
        <w:bidi w:val="0"/>
        <w:adjustRightInd/>
        <w:snapToGrid/>
        <w:spacing w:line="15"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17. 争议的解决</w:t>
      </w:r>
    </w:p>
    <w:p>
      <w:pPr>
        <w:spacing w:line="360" w:lineRule="auto"/>
        <w:ind w:firstLine="411" w:firstLineChars="196"/>
        <w:rPr>
          <w:rFonts w:ascii="宋体" w:hAnsi="宋体" w:cs="宋体"/>
          <w:szCs w:val="22"/>
        </w:rPr>
      </w:pPr>
      <w:r>
        <w:rPr>
          <w:rFonts w:hint="eastAsia" w:ascii="宋体" w:hAnsi="宋体" w:cs="宋体"/>
          <w:szCs w:val="22"/>
        </w:rPr>
        <w:t>因本合同引起的或与本合同有关的任何争议,双方可通过友好协商解决。友好协商解决不成的，可在专用合同条款中约定下列一种方式解决：</w:t>
      </w:r>
    </w:p>
    <w:p>
      <w:pPr>
        <w:spacing w:line="360" w:lineRule="auto"/>
        <w:ind w:firstLine="411" w:firstLineChars="196"/>
        <w:rPr>
          <w:rFonts w:ascii="宋体" w:hAnsi="宋体" w:cs="宋体"/>
          <w:szCs w:val="22"/>
        </w:rPr>
      </w:pPr>
      <w:r>
        <w:rPr>
          <w:rFonts w:hint="eastAsia" w:ascii="宋体" w:hAnsi="宋体" w:cs="宋体"/>
          <w:szCs w:val="22"/>
        </w:rPr>
        <w:t>（1）向约定的仲裁委员会申请仲裁；</w:t>
      </w:r>
    </w:p>
    <w:p>
      <w:pPr>
        <w:spacing w:line="360" w:lineRule="auto"/>
        <w:ind w:firstLine="411" w:firstLineChars="196"/>
        <w:rPr>
          <w:rFonts w:ascii="宋体" w:hAnsi="宋体" w:cs="宋体"/>
          <w:szCs w:val="22"/>
        </w:rPr>
      </w:pPr>
      <w:r>
        <w:rPr>
          <w:rFonts w:hint="eastAsia" w:ascii="宋体" w:hAnsi="宋体" w:cs="宋体"/>
          <w:szCs w:val="22"/>
        </w:rPr>
        <w:t>（2）向有管辖权的人民法院提起诉讼。</w:t>
      </w:r>
    </w:p>
    <w:p>
      <w:pPr>
        <w:pStyle w:val="4"/>
        <w:spacing w:before="0" w:after="0" w:line="415" w:lineRule="auto"/>
        <w:jc w:val="center"/>
        <w:rPr>
          <w:rFonts w:ascii="宋体" w:hAnsi="宋体"/>
          <w:sz w:val="28"/>
          <w:szCs w:val="28"/>
        </w:rPr>
      </w:pPr>
      <w:r>
        <w:rPr>
          <w:rFonts w:hint="eastAsia" w:ascii="宋体" w:hAnsi="宋体"/>
          <w:b w:val="0"/>
          <w:sz w:val="31"/>
        </w:rPr>
        <w:br w:type="page"/>
      </w:r>
      <w:bookmarkStart w:id="22" w:name="_Toc31791886"/>
      <w:r>
        <w:rPr>
          <w:rFonts w:hint="eastAsia" w:ascii="宋体" w:hAnsi="宋体"/>
          <w:sz w:val="28"/>
          <w:szCs w:val="28"/>
        </w:rPr>
        <w:t>第二节 专用合同条款</w:t>
      </w:r>
      <w:bookmarkEnd w:id="22"/>
    </w:p>
    <w:p>
      <w:pPr>
        <w:pStyle w:val="5"/>
        <w:keepNext/>
        <w:keepLines/>
        <w:pageBreakBefore w:val="0"/>
        <w:widowControl/>
        <w:kinsoku/>
        <w:wordWrap/>
        <w:overflowPunct/>
        <w:topLinePunct w:val="0"/>
        <w:autoSpaceDE/>
        <w:autoSpaceDN/>
        <w:bidi w:val="0"/>
        <w:adjustRightInd/>
        <w:snapToGrid/>
        <w:spacing w:line="15" w:lineRule="auto"/>
        <w:textAlignment w:val="auto"/>
        <w:rPr>
          <w:sz w:val="24"/>
          <w:szCs w:val="24"/>
        </w:rPr>
      </w:pPr>
      <w:bookmarkStart w:id="23" w:name="_Toc511286934"/>
      <w:r>
        <w:rPr>
          <w:rFonts w:hint="eastAsia"/>
          <w:sz w:val="24"/>
          <w:szCs w:val="24"/>
        </w:rPr>
        <w:t>1.一般规定</w:t>
      </w:r>
      <w:bookmarkEnd w:id="23"/>
    </w:p>
    <w:p>
      <w:pPr>
        <w:spacing w:line="360" w:lineRule="exact"/>
        <w:ind w:firstLine="361" w:firstLineChars="150"/>
        <w:rPr>
          <w:rFonts w:ascii="宋体" w:hAnsi="宋体"/>
          <w:b/>
          <w:sz w:val="24"/>
        </w:rPr>
      </w:pPr>
      <w:bookmarkStart w:id="24" w:name="_Toc221951112"/>
      <w:bookmarkStart w:id="25" w:name="_Toc221951113"/>
      <w:bookmarkStart w:id="26" w:name="_Toc309533346"/>
      <w:bookmarkStart w:id="27" w:name="_Toc406150480"/>
      <w:bookmarkStart w:id="28" w:name="_Toc457826210"/>
      <w:r>
        <w:rPr>
          <w:rFonts w:hint="eastAsia" w:ascii="宋体" w:hAnsi="宋体"/>
          <w:b/>
          <w:sz w:val="24"/>
        </w:rPr>
        <w:t>1.1  词语定义</w:t>
      </w:r>
      <w:bookmarkEnd w:id="24"/>
    </w:p>
    <w:p>
      <w:pPr>
        <w:spacing w:line="360" w:lineRule="exact"/>
        <w:ind w:firstLine="420" w:firstLineChars="200"/>
        <w:rPr>
          <w:rFonts w:ascii="宋体" w:hAnsi="宋体"/>
          <w:szCs w:val="21"/>
        </w:rPr>
      </w:pPr>
      <w:r>
        <w:rPr>
          <w:rFonts w:hint="eastAsia" w:ascii="宋体" w:hAnsi="宋体"/>
          <w:szCs w:val="21"/>
        </w:rPr>
        <w:t>1.1.2  合同当事人和人员</w:t>
      </w:r>
      <w:bookmarkEnd w:id="25"/>
      <w:bookmarkEnd w:id="26"/>
    </w:p>
    <w:p>
      <w:pPr>
        <w:spacing w:line="360" w:lineRule="exact"/>
        <w:ind w:firstLine="420" w:firstLineChars="200"/>
        <w:rPr>
          <w:rFonts w:ascii="宋体" w:hAnsi="宋体"/>
          <w:szCs w:val="21"/>
        </w:rPr>
      </w:pPr>
      <w:bookmarkStart w:id="29" w:name="_Toc221951114"/>
      <w:r>
        <w:rPr>
          <w:rFonts w:hint="eastAsia" w:ascii="宋体" w:hAnsi="宋体"/>
          <w:szCs w:val="21"/>
        </w:rPr>
        <w:t>1.1.2.2 买方：</w:t>
      </w:r>
      <w:bookmarkEnd w:id="29"/>
      <w:bookmarkStart w:id="30" w:name="_Toc221951115"/>
      <w:r>
        <w:rPr>
          <w:rFonts w:hint="eastAsia" w:ascii="宋体" w:hAnsi="宋体"/>
          <w:szCs w:val="21"/>
        </w:rPr>
        <w:t>松原灌区大安工程建设管理指挥部办公室</w:t>
      </w:r>
    </w:p>
    <w:p>
      <w:pPr>
        <w:spacing w:line="360" w:lineRule="exact"/>
        <w:ind w:firstLine="420" w:firstLineChars="200"/>
        <w:rPr>
          <w:rFonts w:ascii="宋体" w:hAnsi="宋体"/>
          <w:szCs w:val="21"/>
        </w:rPr>
      </w:pPr>
      <w:r>
        <w:rPr>
          <w:rFonts w:hint="eastAsia" w:ascii="宋体" w:hAnsi="宋体"/>
          <w:szCs w:val="21"/>
        </w:rPr>
        <w:t>1.1.2.3 卖方：(签约后填入卖方人的名称)</w:t>
      </w:r>
      <w:bookmarkEnd w:id="30"/>
      <w:bookmarkStart w:id="31" w:name="_Toc221951116"/>
    </w:p>
    <w:bookmarkEnd w:id="31"/>
    <w:p>
      <w:pPr>
        <w:spacing w:line="360" w:lineRule="exact"/>
        <w:ind w:firstLine="361" w:firstLineChars="150"/>
        <w:rPr>
          <w:rFonts w:ascii="宋体" w:hAnsi="宋体"/>
          <w:b/>
          <w:sz w:val="24"/>
        </w:rPr>
      </w:pPr>
      <w:bookmarkStart w:id="32" w:name="_Toc221951127"/>
      <w:r>
        <w:rPr>
          <w:rFonts w:hint="eastAsia" w:ascii="宋体" w:hAnsi="宋体"/>
          <w:b/>
          <w:sz w:val="24"/>
        </w:rPr>
        <w:t>1.3  合同文件的优先顺序</w:t>
      </w:r>
      <w:bookmarkEnd w:id="32"/>
    </w:p>
    <w:p>
      <w:pPr>
        <w:spacing w:line="360" w:lineRule="exact"/>
        <w:ind w:firstLine="420" w:firstLineChars="200"/>
        <w:jc w:val="left"/>
        <w:rPr>
          <w:rFonts w:ascii="宋体" w:hAnsi="宋体"/>
          <w:szCs w:val="21"/>
        </w:rPr>
      </w:pPr>
      <w:bookmarkStart w:id="33" w:name="_Toc221951128"/>
      <w:r>
        <w:rPr>
          <w:rFonts w:hint="eastAsia" w:ascii="宋体" w:hAnsi="宋体"/>
          <w:szCs w:val="21"/>
        </w:rPr>
        <w:t>进入合同文件的各项文件及其优先顺序是</w:t>
      </w:r>
      <w:bookmarkEnd w:id="33"/>
      <w:r>
        <w:rPr>
          <w:rFonts w:hint="eastAsia" w:ascii="宋体" w:hAnsi="宋体"/>
          <w:szCs w:val="21"/>
        </w:rPr>
        <w:t>：</w:t>
      </w:r>
    </w:p>
    <w:p>
      <w:pPr>
        <w:spacing w:line="360" w:lineRule="exact"/>
        <w:ind w:left="420"/>
        <w:jc w:val="left"/>
        <w:rPr>
          <w:rFonts w:ascii="宋体" w:hAnsi="宋体"/>
          <w:szCs w:val="21"/>
        </w:rPr>
      </w:pPr>
      <w:r>
        <w:rPr>
          <w:rFonts w:hint="eastAsia" w:ascii="宋体" w:hAnsi="宋体"/>
          <w:szCs w:val="21"/>
        </w:rPr>
        <w:t>（1）合同协议书及补充合同协议书；</w:t>
      </w:r>
    </w:p>
    <w:p>
      <w:pPr>
        <w:spacing w:line="360" w:lineRule="exact"/>
        <w:ind w:left="420"/>
        <w:jc w:val="left"/>
        <w:rPr>
          <w:rFonts w:ascii="宋体" w:hAnsi="宋体"/>
          <w:szCs w:val="21"/>
        </w:rPr>
      </w:pPr>
      <w:r>
        <w:rPr>
          <w:rFonts w:hint="eastAsia" w:ascii="宋体" w:hAnsi="宋体"/>
          <w:szCs w:val="21"/>
        </w:rPr>
        <w:t>（2）中标通知书；</w:t>
      </w:r>
    </w:p>
    <w:p>
      <w:pPr>
        <w:spacing w:line="360" w:lineRule="exact"/>
        <w:ind w:left="420"/>
        <w:jc w:val="left"/>
        <w:rPr>
          <w:rFonts w:ascii="宋体" w:hAnsi="宋体"/>
          <w:szCs w:val="21"/>
        </w:rPr>
      </w:pPr>
      <w:r>
        <w:rPr>
          <w:rFonts w:hint="eastAsia" w:ascii="宋体" w:hAnsi="宋体"/>
          <w:szCs w:val="21"/>
        </w:rPr>
        <w:t>（3）投标函及；</w:t>
      </w:r>
    </w:p>
    <w:p>
      <w:pPr>
        <w:spacing w:line="360" w:lineRule="exact"/>
        <w:ind w:left="420"/>
        <w:jc w:val="left"/>
        <w:rPr>
          <w:rFonts w:ascii="宋体" w:hAnsi="宋体"/>
          <w:szCs w:val="21"/>
        </w:rPr>
      </w:pPr>
      <w:r>
        <w:rPr>
          <w:rFonts w:hint="eastAsia" w:ascii="宋体" w:hAnsi="宋体"/>
          <w:szCs w:val="21"/>
        </w:rPr>
        <w:t>（4）商务和技术偏差表；</w:t>
      </w:r>
    </w:p>
    <w:p>
      <w:pPr>
        <w:spacing w:line="360" w:lineRule="exact"/>
        <w:ind w:left="420"/>
        <w:jc w:val="left"/>
        <w:rPr>
          <w:rFonts w:ascii="宋体" w:hAnsi="宋体"/>
          <w:szCs w:val="21"/>
        </w:rPr>
      </w:pPr>
      <w:r>
        <w:rPr>
          <w:rFonts w:hint="eastAsia" w:ascii="宋体" w:hAnsi="宋体"/>
          <w:szCs w:val="21"/>
        </w:rPr>
        <w:t>（5）专用合同条款</w:t>
      </w:r>
    </w:p>
    <w:p>
      <w:pPr>
        <w:spacing w:line="360" w:lineRule="exact"/>
        <w:ind w:left="420"/>
        <w:jc w:val="left"/>
        <w:rPr>
          <w:rFonts w:ascii="宋体" w:hAnsi="宋体"/>
          <w:szCs w:val="21"/>
        </w:rPr>
      </w:pPr>
      <w:r>
        <w:rPr>
          <w:rFonts w:hint="eastAsia" w:ascii="宋体" w:hAnsi="宋体"/>
          <w:szCs w:val="21"/>
        </w:rPr>
        <w:t>（6）通用合同条款；</w:t>
      </w:r>
    </w:p>
    <w:p>
      <w:pPr>
        <w:spacing w:line="360" w:lineRule="exact"/>
        <w:ind w:left="420"/>
        <w:jc w:val="left"/>
        <w:rPr>
          <w:rFonts w:ascii="宋体" w:hAnsi="宋体"/>
          <w:szCs w:val="21"/>
        </w:rPr>
      </w:pPr>
      <w:r>
        <w:rPr>
          <w:rFonts w:hint="eastAsia" w:ascii="宋体" w:hAnsi="宋体"/>
          <w:szCs w:val="21"/>
        </w:rPr>
        <w:t>（7）供货要求；</w:t>
      </w:r>
    </w:p>
    <w:p>
      <w:pPr>
        <w:spacing w:line="360" w:lineRule="exact"/>
        <w:ind w:left="420"/>
        <w:jc w:val="left"/>
        <w:rPr>
          <w:rFonts w:ascii="宋体" w:hAnsi="宋体"/>
          <w:szCs w:val="21"/>
        </w:rPr>
      </w:pPr>
      <w:r>
        <w:rPr>
          <w:rFonts w:hint="eastAsia" w:ascii="宋体" w:hAnsi="宋体"/>
          <w:szCs w:val="21"/>
        </w:rPr>
        <w:t>（8）分项报价表；</w:t>
      </w:r>
    </w:p>
    <w:p>
      <w:pPr>
        <w:spacing w:line="360" w:lineRule="exact"/>
        <w:ind w:left="420"/>
        <w:jc w:val="left"/>
        <w:rPr>
          <w:rFonts w:ascii="宋体" w:hAnsi="宋体"/>
          <w:szCs w:val="21"/>
        </w:rPr>
      </w:pPr>
      <w:r>
        <w:rPr>
          <w:rFonts w:hint="eastAsia" w:ascii="宋体" w:hAnsi="宋体"/>
          <w:szCs w:val="21"/>
        </w:rPr>
        <w:t>（9）中标设备技术性能指标的详细描述；</w:t>
      </w:r>
    </w:p>
    <w:p>
      <w:pPr>
        <w:spacing w:line="360" w:lineRule="exact"/>
        <w:ind w:left="420"/>
        <w:jc w:val="left"/>
        <w:rPr>
          <w:rFonts w:ascii="宋体" w:hAnsi="宋体"/>
          <w:szCs w:val="21"/>
        </w:rPr>
      </w:pPr>
      <w:r>
        <w:rPr>
          <w:rFonts w:hint="eastAsia" w:ascii="宋体" w:hAnsi="宋体"/>
          <w:szCs w:val="21"/>
        </w:rPr>
        <w:t>（10）中标设备及技术服务和质保期服务；</w:t>
      </w:r>
    </w:p>
    <w:p>
      <w:pPr>
        <w:spacing w:line="360" w:lineRule="exact"/>
        <w:ind w:left="420"/>
        <w:jc w:val="left"/>
        <w:rPr>
          <w:rFonts w:ascii="宋体" w:hAnsi="宋体"/>
          <w:szCs w:val="21"/>
        </w:rPr>
      </w:pPr>
      <w:r>
        <w:rPr>
          <w:rFonts w:hint="eastAsia" w:ascii="宋体" w:hAnsi="宋体"/>
          <w:szCs w:val="21"/>
        </w:rPr>
        <w:t>（11）经双方确认进入合同的其他文件；</w:t>
      </w:r>
    </w:p>
    <w:bookmarkEnd w:id="27"/>
    <w:bookmarkEnd w:id="28"/>
    <w:p>
      <w:pPr>
        <w:spacing w:line="360" w:lineRule="exact"/>
        <w:ind w:firstLine="482" w:firstLineChars="200"/>
        <w:rPr>
          <w:rFonts w:ascii="宋体" w:hAnsi="宋体" w:cs="宋体"/>
          <w:b/>
          <w:szCs w:val="21"/>
        </w:rPr>
      </w:pPr>
      <w:bookmarkStart w:id="34" w:name="_Toc457826214"/>
      <w:r>
        <w:rPr>
          <w:rFonts w:ascii="宋体" w:hAnsi="宋体"/>
          <w:b/>
          <w:sz w:val="24"/>
        </w:rPr>
        <w:t>1.</w:t>
      </w:r>
      <w:r>
        <w:rPr>
          <w:rFonts w:hint="eastAsia" w:ascii="宋体" w:hAnsi="宋体"/>
          <w:b/>
          <w:sz w:val="24"/>
        </w:rPr>
        <w:t>9 保密</w:t>
      </w:r>
      <w:bookmarkEnd w:id="34"/>
    </w:p>
    <w:p>
      <w:pPr>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合同当事人关于保密的约定：</w:t>
      </w:r>
      <w:r>
        <w:rPr>
          <w:rFonts w:hint="eastAsia" w:ascii="宋体" w:hAnsi="宋体" w:cs="宋体"/>
          <w:kern w:val="0"/>
          <w:szCs w:val="21"/>
          <w:u w:val="single"/>
        </w:rPr>
        <w:t>合同双方应遵守保密义务，除非相关信息进入公知领域或者另一方许可公开</w:t>
      </w:r>
      <w:r>
        <w:rPr>
          <w:rFonts w:hint="eastAsia" w:ascii="宋体" w:hAnsi="宋体" w:cs="宋体"/>
          <w:kern w:val="0"/>
          <w:szCs w:val="21"/>
        </w:rPr>
        <w:t>。</w:t>
      </w:r>
    </w:p>
    <w:p>
      <w:pPr>
        <w:spacing w:line="360" w:lineRule="exact"/>
        <w:ind w:firstLine="482" w:firstLineChars="200"/>
        <w:rPr>
          <w:rFonts w:ascii="宋体" w:hAnsi="宋体"/>
          <w:b/>
          <w:sz w:val="24"/>
        </w:rPr>
      </w:pPr>
      <w:bookmarkStart w:id="35" w:name="_Toc511286936"/>
      <w:r>
        <w:rPr>
          <w:rFonts w:hint="eastAsia" w:ascii="宋体" w:hAnsi="宋体"/>
          <w:b/>
          <w:sz w:val="24"/>
        </w:rPr>
        <w:t>3.合同价格与支付</w:t>
      </w:r>
      <w:bookmarkEnd w:id="35"/>
    </w:p>
    <w:p>
      <w:pPr>
        <w:spacing w:line="360" w:lineRule="exact"/>
        <w:ind w:firstLine="482" w:firstLineChars="200"/>
        <w:rPr>
          <w:rFonts w:ascii="宋体" w:hAnsi="宋体"/>
          <w:b/>
          <w:sz w:val="24"/>
        </w:rPr>
      </w:pPr>
      <w:bookmarkStart w:id="36" w:name="_Toc457826230"/>
      <w:bookmarkStart w:id="37" w:name="_Toc406150498"/>
      <w:bookmarkStart w:id="38" w:name="_Toc511286937"/>
      <w:r>
        <w:rPr>
          <w:rFonts w:hint="eastAsia" w:ascii="宋体" w:hAnsi="宋体"/>
          <w:b/>
          <w:sz w:val="24"/>
        </w:rPr>
        <w:t>3.1</w:t>
      </w:r>
      <w:bookmarkEnd w:id="36"/>
      <w:bookmarkEnd w:id="37"/>
      <w:r>
        <w:rPr>
          <w:rFonts w:hint="eastAsia" w:ascii="宋体" w:hAnsi="宋体"/>
          <w:b/>
          <w:sz w:val="24"/>
        </w:rPr>
        <w:t>合同价格</w:t>
      </w:r>
      <w:bookmarkEnd w:id="38"/>
    </w:p>
    <w:p>
      <w:pPr>
        <w:tabs>
          <w:tab w:val="left" w:pos="900"/>
        </w:tabs>
        <w:adjustRightInd w:val="0"/>
        <w:snapToGrid w:val="0"/>
        <w:spacing w:line="360" w:lineRule="exact"/>
        <w:ind w:firstLine="420" w:firstLineChars="200"/>
        <w:jc w:val="left"/>
        <w:rPr>
          <w:rFonts w:ascii="宋体" w:hAnsi="宋体" w:cs="宋体"/>
          <w:kern w:val="0"/>
          <w:szCs w:val="21"/>
        </w:rPr>
      </w:pPr>
      <w:r>
        <w:rPr>
          <w:rFonts w:hint="eastAsia" w:ascii="宋体" w:hAnsi="宋体"/>
          <w:kern w:val="0"/>
          <w:szCs w:val="21"/>
        </w:rPr>
        <w:t>3</w:t>
      </w:r>
      <w:r>
        <w:rPr>
          <w:rFonts w:ascii="宋体" w:hAnsi="宋体"/>
          <w:kern w:val="0"/>
          <w:szCs w:val="21"/>
        </w:rPr>
        <w:t>.1.1</w:t>
      </w:r>
      <w:r>
        <w:rPr>
          <w:rFonts w:hint="eastAsia" w:ascii="宋体" w:hAnsi="宋体" w:cs="宋体"/>
          <w:bCs/>
          <w:szCs w:val="21"/>
        </w:rPr>
        <w:t>本次招标为固定单价合同，按实际供货量结算</w:t>
      </w:r>
      <w:r>
        <w:rPr>
          <w:rFonts w:hint="eastAsia" w:ascii="宋体" w:hAnsi="宋体" w:cs="宋体"/>
          <w:kern w:val="0"/>
          <w:szCs w:val="21"/>
        </w:rPr>
        <w:t>。</w:t>
      </w:r>
    </w:p>
    <w:p>
      <w:pPr>
        <w:adjustRightInd w:val="0"/>
        <w:snapToGrid w:val="0"/>
        <w:spacing w:line="360" w:lineRule="exact"/>
        <w:ind w:firstLine="422" w:firstLineChars="200"/>
        <w:jc w:val="left"/>
        <w:rPr>
          <w:rFonts w:ascii="宋体" w:hAnsi="宋体"/>
          <w:b/>
          <w:szCs w:val="21"/>
        </w:rPr>
      </w:pPr>
      <w:bookmarkStart w:id="39" w:name="_Toc406150499"/>
      <w:bookmarkStart w:id="40" w:name="_Toc457826231"/>
      <w:r>
        <w:rPr>
          <w:rFonts w:hint="eastAsia" w:ascii="宋体" w:hAnsi="宋体"/>
          <w:b/>
          <w:szCs w:val="21"/>
        </w:rPr>
        <w:t>3</w:t>
      </w:r>
      <w:r>
        <w:rPr>
          <w:rFonts w:ascii="宋体" w:hAnsi="宋体"/>
          <w:b/>
          <w:szCs w:val="21"/>
        </w:rPr>
        <w:t>.2</w:t>
      </w:r>
      <w:r>
        <w:rPr>
          <w:rFonts w:hint="eastAsia" w:ascii="宋体" w:hAnsi="宋体"/>
          <w:b/>
          <w:szCs w:val="21"/>
        </w:rPr>
        <w:t>合同价款的支付</w:t>
      </w:r>
    </w:p>
    <w:p>
      <w:pPr>
        <w:adjustRightInd w:val="0"/>
        <w:snapToGrid w:val="0"/>
        <w:spacing w:line="360" w:lineRule="exact"/>
        <w:ind w:firstLine="422" w:firstLineChars="200"/>
        <w:jc w:val="left"/>
        <w:rPr>
          <w:rFonts w:ascii="宋体" w:hAnsi="宋体" w:cs="宋体"/>
          <w:b/>
          <w:szCs w:val="21"/>
        </w:rPr>
      </w:pPr>
      <w:r>
        <w:rPr>
          <w:rFonts w:hint="eastAsia" w:ascii="宋体" w:hAnsi="宋体" w:cs="宋体"/>
          <w:b/>
          <w:szCs w:val="21"/>
        </w:rPr>
        <w:t>3.2.1预付款</w:t>
      </w:r>
      <w:bookmarkEnd w:id="39"/>
      <w:bookmarkEnd w:id="40"/>
    </w:p>
    <w:p>
      <w:pPr>
        <w:adjustRightInd w:val="0"/>
        <w:snapToGrid w:val="0"/>
        <w:spacing w:line="360" w:lineRule="exact"/>
        <w:ind w:firstLine="420" w:firstLineChars="200"/>
        <w:jc w:val="left"/>
        <w:rPr>
          <w:rFonts w:ascii="宋体" w:hAnsi="宋体" w:cs="宋体"/>
          <w:b/>
          <w:kern w:val="0"/>
          <w:szCs w:val="21"/>
        </w:rPr>
      </w:pPr>
      <w:r>
        <w:rPr>
          <w:rFonts w:hint="eastAsia" w:ascii="宋体" w:hAnsi="宋体"/>
          <w:kern w:val="0"/>
          <w:szCs w:val="21"/>
        </w:rPr>
        <w:t>3</w:t>
      </w:r>
      <w:r>
        <w:rPr>
          <w:rFonts w:ascii="宋体" w:hAnsi="宋体"/>
          <w:kern w:val="0"/>
          <w:szCs w:val="21"/>
        </w:rPr>
        <w:t>.2.1</w:t>
      </w:r>
      <w:r>
        <w:rPr>
          <w:rFonts w:hint="eastAsia" w:ascii="宋体" w:hAnsi="宋体" w:cs="宋体"/>
          <w:kern w:val="0"/>
          <w:szCs w:val="21"/>
        </w:rPr>
        <w:t>买人向卖人支付预付款</w:t>
      </w:r>
      <w:r>
        <w:rPr>
          <w:rFonts w:ascii="宋体" w:hAnsi="宋体" w:cs="宋体"/>
          <w:kern w:val="0"/>
          <w:szCs w:val="21"/>
        </w:rPr>
        <w:t>:</w:t>
      </w:r>
      <w:r>
        <w:rPr>
          <w:rFonts w:hint="eastAsia" w:ascii="宋体" w:hAnsi="宋体" w:cs="宋体"/>
          <w:kern w:val="0"/>
          <w:szCs w:val="21"/>
          <w:u w:val="single"/>
        </w:rPr>
        <w:t>为合同价款的</w:t>
      </w:r>
      <w:r>
        <w:rPr>
          <w:rFonts w:ascii="宋体" w:hAnsi="宋体" w:cs="宋体"/>
          <w:kern w:val="0"/>
          <w:szCs w:val="21"/>
          <w:u w:val="single"/>
        </w:rPr>
        <w:t>3</w:t>
      </w:r>
      <w:r>
        <w:rPr>
          <w:rFonts w:hint="eastAsia" w:ascii="宋体" w:hAnsi="宋体" w:cs="宋体"/>
          <w:kern w:val="0"/>
          <w:szCs w:val="21"/>
          <w:u w:val="single"/>
        </w:rPr>
        <w:t>0%</w:t>
      </w:r>
      <w:r>
        <w:rPr>
          <w:rFonts w:hint="eastAsia" w:ascii="宋体" w:hAnsi="宋体" w:cs="宋体"/>
          <w:kern w:val="0"/>
          <w:szCs w:val="21"/>
        </w:rPr>
        <w:t>。</w:t>
      </w:r>
    </w:p>
    <w:p>
      <w:pPr>
        <w:pStyle w:val="22"/>
        <w:spacing w:line="360" w:lineRule="exact"/>
        <w:ind w:firstLine="420" w:firstLineChars="200"/>
        <w:jc w:val="left"/>
        <w:rPr>
          <w:rFonts w:ascii="宋体" w:hAnsi="宋体"/>
          <w:b/>
          <w:szCs w:val="21"/>
        </w:rPr>
      </w:pPr>
      <w:bookmarkStart w:id="41" w:name="_Toc457826233"/>
      <w:r>
        <w:rPr>
          <w:rFonts w:hint="eastAsia" w:ascii="宋体" w:hAnsi="宋体"/>
          <w:szCs w:val="21"/>
        </w:rPr>
        <w:t>3</w:t>
      </w:r>
      <w:r>
        <w:rPr>
          <w:rFonts w:ascii="宋体" w:hAnsi="宋体"/>
          <w:szCs w:val="21"/>
        </w:rPr>
        <w:t>.</w:t>
      </w:r>
      <w:r>
        <w:rPr>
          <w:rFonts w:hint="eastAsia" w:ascii="宋体" w:hAnsi="宋体"/>
          <w:szCs w:val="21"/>
        </w:rPr>
        <w:t>2.2</w:t>
      </w:r>
      <w:bookmarkEnd w:id="41"/>
      <w:r>
        <w:rPr>
          <w:rFonts w:hint="eastAsia" w:ascii="宋体" w:hAnsi="宋体" w:cs="宋体"/>
          <w:szCs w:val="21"/>
        </w:rPr>
        <w:t>进度款</w:t>
      </w:r>
    </w:p>
    <w:p>
      <w:pPr>
        <w:spacing w:line="360" w:lineRule="exact"/>
        <w:ind w:firstLine="420" w:firstLineChars="200"/>
        <w:jc w:val="left"/>
        <w:rPr>
          <w:rFonts w:hint="eastAsia" w:ascii="宋体" w:hAnsi="宋体"/>
          <w:b/>
          <w:bCs/>
          <w:kern w:val="15"/>
          <w:szCs w:val="21"/>
          <w:lang w:val="zh-CN"/>
        </w:rPr>
      </w:pPr>
      <w:r>
        <w:rPr>
          <w:rFonts w:hint="eastAsia" w:ascii="宋体" w:hAnsi="宋体"/>
          <w:bCs/>
          <w:kern w:val="15"/>
          <w:szCs w:val="21"/>
          <w:lang w:val="zh-CN"/>
        </w:rPr>
        <w:t>进度款支付的约定：</w:t>
      </w:r>
      <w:bookmarkStart w:id="42" w:name="_Toc511286939"/>
      <w:bookmarkStart w:id="43" w:name="_Toc457826248"/>
      <w:bookmarkStart w:id="44" w:name="_Toc406150510"/>
      <w:r>
        <w:rPr>
          <w:rFonts w:hint="eastAsia" w:ascii="宋体" w:hAnsi="宋体"/>
          <w:b/>
          <w:bCs/>
          <w:kern w:val="15"/>
          <w:szCs w:val="21"/>
          <w:lang w:val="zh-CN"/>
        </w:rPr>
        <w:t>设备预付款的总金额为合同价的30%。预付款在正式合同签订后28天内，并在承包人向发包人提交了经发包人认可的保函后支付。全部设备在工厂内制作完毕，并经监理单位验收合格后28天内，发包人支付第二次设备款，第二次设备款为合同价的20%。全部设备运到施工现场，并经监理单位验收合格后28天内，发包人支付第三次设备款，第三次设备款初步定位合同价的20%。本工程主机组试运行验收后28天内，发包人支付第四次设备款，第四次设备款为合同价的</w:t>
      </w:r>
      <w:r>
        <w:rPr>
          <w:rFonts w:ascii="宋体" w:hAnsi="宋体"/>
          <w:b/>
          <w:bCs/>
          <w:kern w:val="15"/>
          <w:szCs w:val="21"/>
          <w:lang w:val="zh-CN"/>
        </w:rPr>
        <w:t>27</w:t>
      </w:r>
      <w:r>
        <w:rPr>
          <w:rFonts w:hint="eastAsia" w:ascii="宋体" w:hAnsi="宋体"/>
          <w:b/>
          <w:bCs/>
          <w:kern w:val="15"/>
          <w:szCs w:val="21"/>
          <w:lang w:val="zh-CN"/>
        </w:rPr>
        <w:t>%。余下的</w:t>
      </w:r>
      <w:r>
        <w:rPr>
          <w:rFonts w:ascii="宋体" w:hAnsi="宋体"/>
          <w:b/>
          <w:bCs/>
          <w:kern w:val="15"/>
          <w:szCs w:val="21"/>
          <w:lang w:val="zh-CN"/>
        </w:rPr>
        <w:t>3</w:t>
      </w:r>
      <w:r>
        <w:rPr>
          <w:rFonts w:hint="eastAsia" w:ascii="宋体" w:hAnsi="宋体"/>
          <w:b/>
          <w:bCs/>
          <w:kern w:val="15"/>
          <w:szCs w:val="21"/>
          <w:lang w:val="zh-CN"/>
        </w:rPr>
        <w:t>%作为质量保证金，发包人于本工程保修期满后28天内，一次性支付。</w:t>
      </w:r>
    </w:p>
    <w:p>
      <w:pPr>
        <w:spacing w:line="360" w:lineRule="exact"/>
        <w:ind w:firstLine="422" w:firstLineChars="200"/>
        <w:jc w:val="left"/>
        <w:rPr>
          <w:rFonts w:hint="eastAsia" w:ascii="宋体" w:hAnsi="宋体"/>
          <w:b/>
          <w:bCs/>
          <w:kern w:val="15"/>
          <w:szCs w:val="21"/>
          <w:lang w:val="zh-CN"/>
        </w:rPr>
      </w:pPr>
    </w:p>
    <w:p>
      <w:pPr>
        <w:pStyle w:val="5"/>
        <w:keepNext/>
        <w:keepLines/>
        <w:pageBreakBefore w:val="0"/>
        <w:widowControl/>
        <w:kinsoku/>
        <w:wordWrap/>
        <w:overflowPunct/>
        <w:topLinePunct w:val="0"/>
        <w:autoSpaceDE/>
        <w:autoSpaceDN/>
        <w:bidi w:val="0"/>
        <w:adjustRightInd/>
        <w:snapToGrid/>
        <w:spacing w:line="15" w:lineRule="auto"/>
        <w:textAlignment w:val="auto"/>
        <w:rPr>
          <w:rFonts w:hint="eastAsia"/>
          <w:sz w:val="24"/>
          <w:szCs w:val="24"/>
        </w:rPr>
      </w:pPr>
      <w:r>
        <w:rPr>
          <w:rFonts w:hint="eastAsia"/>
          <w:sz w:val="24"/>
          <w:szCs w:val="24"/>
        </w:rPr>
        <w:t>14.违约责任</w:t>
      </w:r>
    </w:p>
    <w:p>
      <w:pPr>
        <w:adjustRightInd w:val="0"/>
        <w:snapToGrid w:val="0"/>
        <w:spacing w:line="360" w:lineRule="exact"/>
        <w:ind w:firstLine="420" w:firstLineChars="200"/>
        <w:jc w:val="left"/>
        <w:rPr>
          <w:rFonts w:ascii="宋体" w:hAnsi="宋体" w:cs="宋体"/>
          <w:szCs w:val="22"/>
        </w:rPr>
      </w:pPr>
      <w:r>
        <w:rPr>
          <w:rFonts w:hint="eastAsia" w:ascii="宋体" w:hAnsi="宋体" w:cs="宋体"/>
          <w:szCs w:val="22"/>
        </w:rPr>
        <w:t>14.2 卖方未能按时交付合同设备（包括仅迟延交付技术资料但足以导致合同设备安装、调试、考核、验收工作推迟的）的，应向买方支付迟延交付违约金，违约金1000元/</w:t>
      </w:r>
      <w:r>
        <w:rPr>
          <w:rFonts w:ascii="宋体" w:hAnsi="宋体" w:cs="宋体"/>
          <w:szCs w:val="22"/>
        </w:rPr>
        <w:t>天</w:t>
      </w:r>
      <w:r>
        <w:rPr>
          <w:rFonts w:hint="eastAsia" w:ascii="宋体" w:hAnsi="宋体" w:cs="宋体"/>
          <w:szCs w:val="22"/>
        </w:rPr>
        <w:t>。</w:t>
      </w:r>
    </w:p>
    <w:p>
      <w:pPr>
        <w:pStyle w:val="5"/>
        <w:keepNext/>
        <w:keepLines/>
        <w:pageBreakBefore w:val="0"/>
        <w:widowControl/>
        <w:kinsoku/>
        <w:wordWrap/>
        <w:overflowPunct/>
        <w:topLinePunct w:val="0"/>
        <w:autoSpaceDE/>
        <w:autoSpaceDN/>
        <w:bidi w:val="0"/>
        <w:adjustRightInd/>
        <w:snapToGrid/>
        <w:spacing w:line="15" w:lineRule="auto"/>
        <w:textAlignment w:val="auto"/>
        <w:rPr>
          <w:rFonts w:hint="eastAsia"/>
          <w:sz w:val="24"/>
          <w:szCs w:val="24"/>
        </w:rPr>
      </w:pPr>
      <w:r>
        <w:rPr>
          <w:rFonts w:hint="eastAsia"/>
          <w:sz w:val="24"/>
          <w:szCs w:val="24"/>
        </w:rPr>
        <w:t>17.争议的解决</w:t>
      </w:r>
      <w:bookmarkEnd w:id="42"/>
      <w:bookmarkEnd w:id="43"/>
      <w:bookmarkEnd w:id="44"/>
    </w:p>
    <w:p>
      <w:pPr>
        <w:tabs>
          <w:tab w:val="left" w:pos="1260"/>
        </w:tabs>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双方约定在履行合同过程中产生争议时，采取下列第</w:t>
      </w:r>
      <w:r>
        <w:rPr>
          <w:rFonts w:hint="eastAsia" w:ascii="宋体" w:hAnsi="宋体" w:cs="宋体"/>
          <w:b/>
          <w:kern w:val="0"/>
          <w:szCs w:val="21"/>
          <w:u w:val="single"/>
        </w:rPr>
        <w:t>2</w:t>
      </w:r>
      <w:r>
        <w:rPr>
          <w:rFonts w:hint="eastAsia" w:ascii="宋体" w:hAnsi="宋体" w:cs="宋体"/>
          <w:kern w:val="0"/>
          <w:szCs w:val="21"/>
        </w:rPr>
        <w:t>种方式解决：</w:t>
      </w:r>
    </w:p>
    <w:p>
      <w:pPr>
        <w:tabs>
          <w:tab w:val="left" w:pos="1260"/>
        </w:tabs>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w:t>
      </w:r>
      <w:r>
        <w:rPr>
          <w:rFonts w:ascii="宋体" w:hAnsi="宋体" w:cs="宋体"/>
          <w:kern w:val="0"/>
          <w:szCs w:val="21"/>
        </w:rPr>
        <w:t>1</w:t>
      </w:r>
      <w:r>
        <w:rPr>
          <w:rFonts w:hint="eastAsia" w:ascii="宋体" w:hAnsi="宋体" w:cs="宋体"/>
          <w:kern w:val="0"/>
          <w:szCs w:val="21"/>
        </w:rPr>
        <w:t>）向</w:t>
      </w:r>
      <w:r>
        <w:rPr>
          <w:rFonts w:hint="eastAsia" w:ascii="宋体" w:hAnsi="宋体" w:cs="宋体"/>
          <w:b/>
          <w:kern w:val="0"/>
          <w:szCs w:val="21"/>
          <w:u w:val="single"/>
        </w:rPr>
        <w:t xml:space="preserve">/ </w:t>
      </w:r>
      <w:r>
        <w:rPr>
          <w:rFonts w:hint="eastAsia" w:ascii="宋体" w:hAnsi="宋体" w:cs="宋体"/>
          <w:kern w:val="0"/>
          <w:szCs w:val="21"/>
        </w:rPr>
        <w:t>仲裁委员会提请仲裁；</w:t>
      </w:r>
    </w:p>
    <w:p>
      <w:pPr>
        <w:tabs>
          <w:tab w:val="left" w:pos="1260"/>
        </w:tabs>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w:t>
      </w:r>
      <w:r>
        <w:rPr>
          <w:rFonts w:ascii="宋体" w:hAnsi="宋体" w:cs="宋体"/>
          <w:kern w:val="0"/>
          <w:szCs w:val="21"/>
        </w:rPr>
        <w:t>2</w:t>
      </w:r>
      <w:r>
        <w:rPr>
          <w:rFonts w:hint="eastAsia" w:ascii="宋体" w:hAnsi="宋体" w:cs="宋体"/>
          <w:kern w:val="0"/>
          <w:szCs w:val="21"/>
        </w:rPr>
        <w:t>）向</w:t>
      </w:r>
      <w:r>
        <w:rPr>
          <w:rFonts w:hint="eastAsia" w:ascii="宋体" w:hAnsi="宋体" w:cs="宋体"/>
          <w:b/>
          <w:kern w:val="0"/>
          <w:szCs w:val="21"/>
          <w:u w:val="single"/>
        </w:rPr>
        <w:t>工程所在地</w:t>
      </w:r>
      <w:r>
        <w:rPr>
          <w:rFonts w:hint="eastAsia" w:ascii="宋体" w:hAnsi="宋体" w:cs="宋体"/>
          <w:kern w:val="0"/>
          <w:szCs w:val="21"/>
        </w:rPr>
        <w:t>人民法院提起诉讼。</w:t>
      </w:r>
      <w:bookmarkStart w:id="45" w:name="page61"/>
      <w:bookmarkEnd w:id="45"/>
      <w:bookmarkStart w:id="46" w:name="_Toc503445752"/>
    </w:p>
    <w:p/>
    <w:p/>
    <w:p/>
    <w:p/>
    <w:p/>
    <w:p/>
    <w:p/>
    <w:p/>
    <w:p/>
    <w:p/>
    <w:p/>
    <w:p/>
    <w:p/>
    <w:p/>
    <w:p/>
    <w:p/>
    <w:p/>
    <w:p/>
    <w:p/>
    <w:p/>
    <w:p/>
    <w:p/>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
    <w:p/>
    <w:p/>
    <w:p/>
    <w:p>
      <w:pPr>
        <w:pStyle w:val="4"/>
        <w:spacing w:before="0" w:after="0" w:line="500" w:lineRule="exact"/>
        <w:jc w:val="center"/>
        <w:rPr>
          <w:rFonts w:ascii="宋体" w:hAnsi="宋体"/>
          <w:bCs w:val="0"/>
          <w:sz w:val="28"/>
          <w:szCs w:val="28"/>
        </w:rPr>
      </w:pPr>
      <w:bookmarkStart w:id="47" w:name="_Toc31791887"/>
      <w:r>
        <w:rPr>
          <w:rFonts w:hint="eastAsia" w:ascii="宋体" w:hAnsi="宋体"/>
          <w:bCs w:val="0"/>
          <w:sz w:val="28"/>
          <w:szCs w:val="28"/>
        </w:rPr>
        <w:t>第三节 合同附件格式</w:t>
      </w:r>
      <w:bookmarkEnd w:id="46"/>
      <w:bookmarkEnd w:id="47"/>
    </w:p>
    <w:p>
      <w:pPr>
        <w:spacing w:line="500" w:lineRule="exact"/>
        <w:jc w:val="center"/>
        <w:rPr>
          <w:sz w:val="24"/>
        </w:rPr>
      </w:pPr>
      <w:bookmarkStart w:id="48" w:name="page62"/>
      <w:bookmarkEnd w:id="48"/>
    </w:p>
    <w:p>
      <w:pPr>
        <w:pStyle w:val="4"/>
        <w:spacing w:before="0" w:after="0" w:line="500" w:lineRule="exact"/>
        <w:rPr>
          <w:sz w:val="24"/>
        </w:rPr>
      </w:pPr>
      <w:bookmarkStart w:id="49" w:name="_Toc31791888"/>
      <w:bookmarkStart w:id="50" w:name="_Toc503445753"/>
      <w:r>
        <w:rPr>
          <w:rFonts w:hint="eastAsia" w:ascii="宋体" w:hAnsi="宋体"/>
          <w:sz w:val="28"/>
        </w:rPr>
        <w:t>附件一：合同协议书</w:t>
      </w:r>
      <w:bookmarkEnd w:id="49"/>
      <w:bookmarkEnd w:id="50"/>
    </w:p>
    <w:p>
      <w:pPr>
        <w:spacing w:line="360" w:lineRule="exact"/>
        <w:ind w:left="3620"/>
        <w:jc w:val="left"/>
        <w:rPr>
          <w:b/>
          <w:sz w:val="24"/>
        </w:rPr>
      </w:pPr>
      <w:r>
        <w:rPr>
          <w:rFonts w:hint="eastAsia" w:ascii="宋体" w:hAnsi="宋体"/>
          <w:b/>
          <w:sz w:val="28"/>
        </w:rPr>
        <w:t>合同协议书</w:t>
      </w:r>
    </w:p>
    <w:p>
      <w:pPr>
        <w:spacing w:line="360" w:lineRule="exact"/>
        <w:ind w:firstLine="420" w:firstLineChars="200"/>
        <w:jc w:val="left"/>
        <w:rPr>
          <w:rFonts w:ascii="宋体" w:hAnsi="宋体" w:cs="宋体"/>
          <w:szCs w:val="21"/>
        </w:rPr>
      </w:pPr>
      <w:r>
        <w:rPr>
          <w:rFonts w:hint="eastAsia" w:ascii="宋体" w:hAnsi="宋体" w:cs="宋体"/>
          <w:szCs w:val="21"/>
        </w:rPr>
        <w:t>（买方名称，以下简称“买方”）为获得 （项目名称）</w:t>
      </w:r>
      <w:r>
        <w:rPr>
          <w:rFonts w:ascii="宋体" w:hAnsi="宋体" w:cs="宋体"/>
          <w:szCs w:val="21"/>
        </w:rPr>
        <w:t>合同</w:t>
      </w:r>
      <w:r>
        <w:rPr>
          <w:rFonts w:ascii="宋体" w:hAnsi="宋体" w:cs="宋体"/>
          <w:spacing w:val="-2"/>
          <w:szCs w:val="21"/>
        </w:rPr>
        <w:t>设</w:t>
      </w:r>
      <w:r>
        <w:rPr>
          <w:rFonts w:ascii="宋体" w:hAnsi="宋体" w:cs="宋体"/>
          <w:szCs w:val="21"/>
        </w:rPr>
        <w:t>备</w:t>
      </w:r>
      <w:r>
        <w:rPr>
          <w:rFonts w:ascii="宋体" w:hAnsi="宋体" w:cs="宋体"/>
          <w:spacing w:val="-2"/>
          <w:szCs w:val="21"/>
        </w:rPr>
        <w:t>和</w:t>
      </w:r>
      <w:r>
        <w:rPr>
          <w:rFonts w:ascii="宋体" w:hAnsi="宋体" w:cs="宋体"/>
          <w:szCs w:val="21"/>
        </w:rPr>
        <w:t>技</w:t>
      </w:r>
      <w:r>
        <w:rPr>
          <w:rFonts w:ascii="宋体" w:hAnsi="宋体" w:cs="宋体"/>
          <w:spacing w:val="-2"/>
          <w:szCs w:val="21"/>
        </w:rPr>
        <w:t>术</w:t>
      </w:r>
      <w:r>
        <w:rPr>
          <w:rFonts w:ascii="宋体" w:hAnsi="宋体" w:cs="宋体"/>
          <w:szCs w:val="21"/>
        </w:rPr>
        <w:t>服</w:t>
      </w:r>
      <w:r>
        <w:rPr>
          <w:rFonts w:ascii="宋体" w:hAnsi="宋体" w:cs="宋体"/>
          <w:spacing w:val="-2"/>
          <w:szCs w:val="21"/>
        </w:rPr>
        <w:t>务</w:t>
      </w:r>
      <w:r>
        <w:rPr>
          <w:rFonts w:ascii="宋体" w:hAnsi="宋体" w:cs="宋体"/>
          <w:szCs w:val="21"/>
        </w:rPr>
        <w:t>和</w:t>
      </w:r>
      <w:r>
        <w:rPr>
          <w:rFonts w:ascii="宋体" w:hAnsi="宋体" w:cs="宋体"/>
          <w:spacing w:val="-2"/>
          <w:szCs w:val="21"/>
        </w:rPr>
        <w:t>质</w:t>
      </w:r>
      <w:r>
        <w:rPr>
          <w:rFonts w:ascii="宋体" w:hAnsi="宋体" w:cs="宋体"/>
          <w:szCs w:val="21"/>
        </w:rPr>
        <w:t>保期</w:t>
      </w:r>
      <w:r>
        <w:rPr>
          <w:rFonts w:ascii="宋体" w:hAnsi="宋体" w:cs="宋体"/>
          <w:spacing w:val="-2"/>
          <w:szCs w:val="21"/>
        </w:rPr>
        <w:t>服务</w:t>
      </w:r>
      <w:r>
        <w:rPr>
          <w:rFonts w:hint="eastAsia" w:ascii="宋体" w:hAnsi="宋体" w:cs="宋体"/>
          <w:szCs w:val="21"/>
        </w:rPr>
        <w:t>，已接受（卖方名称，以下简称“卖方”）为提供上述合同设备和技术服务和质保期服务所作的投标。买方和卖方共同达成如下协议。</w:t>
      </w:r>
    </w:p>
    <w:p>
      <w:pPr>
        <w:numPr>
          <w:ilvl w:val="0"/>
          <w:numId w:val="2"/>
        </w:numPr>
        <w:tabs>
          <w:tab w:val="clear" w:pos="720"/>
        </w:tabs>
        <w:overflowPunct w:val="0"/>
        <w:spacing w:line="360" w:lineRule="exact"/>
        <w:ind w:left="0" w:firstLine="420"/>
        <w:rPr>
          <w:rFonts w:ascii="宋体" w:hAnsi="宋体" w:cs="宋体"/>
          <w:szCs w:val="21"/>
        </w:rPr>
      </w:pPr>
      <w:r>
        <w:rPr>
          <w:rFonts w:hint="eastAsia" w:ascii="宋体" w:hAnsi="宋体" w:cs="宋体"/>
          <w:szCs w:val="21"/>
        </w:rPr>
        <w:t>本协议书与下列文件一起构成合同文件：</w:t>
      </w:r>
    </w:p>
    <w:p>
      <w:pPr>
        <w:numPr>
          <w:ilvl w:val="0"/>
          <w:numId w:val="4"/>
        </w:numPr>
        <w:tabs>
          <w:tab w:val="left" w:pos="684"/>
        </w:tabs>
        <w:overflowPunct w:val="0"/>
        <w:spacing w:line="360" w:lineRule="exact"/>
        <w:ind w:left="420"/>
        <w:rPr>
          <w:rFonts w:ascii="宋体" w:hAnsi="宋体" w:cs="宋体"/>
          <w:szCs w:val="21"/>
        </w:rPr>
      </w:pPr>
      <w:r>
        <w:rPr>
          <w:rFonts w:hint="eastAsia" w:ascii="宋体" w:hAnsi="宋体" w:cs="宋体"/>
          <w:szCs w:val="21"/>
        </w:rPr>
        <w:t>中标通知书；</w:t>
      </w:r>
    </w:p>
    <w:p>
      <w:pPr>
        <w:numPr>
          <w:ilvl w:val="0"/>
          <w:numId w:val="4"/>
        </w:numPr>
        <w:tabs>
          <w:tab w:val="left" w:pos="684"/>
        </w:tabs>
        <w:overflowPunct w:val="0"/>
        <w:spacing w:line="360" w:lineRule="exact"/>
        <w:ind w:left="420"/>
        <w:rPr>
          <w:rFonts w:ascii="宋体" w:hAnsi="宋体" w:cs="宋体"/>
          <w:szCs w:val="21"/>
        </w:rPr>
      </w:pPr>
      <w:r>
        <w:rPr>
          <w:rFonts w:hint="eastAsia" w:ascii="宋体" w:hAnsi="宋体" w:cs="宋体"/>
          <w:szCs w:val="21"/>
        </w:rPr>
        <w:t>投标函；</w:t>
      </w:r>
    </w:p>
    <w:p>
      <w:pPr>
        <w:numPr>
          <w:ilvl w:val="0"/>
          <w:numId w:val="4"/>
        </w:numPr>
        <w:tabs>
          <w:tab w:val="left" w:pos="684"/>
        </w:tabs>
        <w:overflowPunct w:val="0"/>
        <w:spacing w:line="360" w:lineRule="exact"/>
        <w:ind w:left="420"/>
        <w:rPr>
          <w:rFonts w:ascii="宋体" w:hAnsi="宋体" w:cs="宋体"/>
          <w:szCs w:val="21"/>
        </w:rPr>
      </w:pPr>
      <w:r>
        <w:rPr>
          <w:rFonts w:hint="eastAsia" w:ascii="宋体" w:hAnsi="宋体" w:cs="宋体"/>
          <w:szCs w:val="21"/>
        </w:rPr>
        <w:t>商务和技术偏差表；</w:t>
      </w:r>
    </w:p>
    <w:p>
      <w:pPr>
        <w:numPr>
          <w:ilvl w:val="0"/>
          <w:numId w:val="4"/>
        </w:numPr>
        <w:tabs>
          <w:tab w:val="left" w:pos="684"/>
        </w:tabs>
        <w:overflowPunct w:val="0"/>
        <w:spacing w:line="360" w:lineRule="exact"/>
        <w:ind w:left="420"/>
        <w:rPr>
          <w:rFonts w:ascii="宋体" w:hAnsi="宋体" w:cs="宋体"/>
          <w:szCs w:val="21"/>
        </w:rPr>
      </w:pPr>
      <w:r>
        <w:rPr>
          <w:rFonts w:hint="eastAsia" w:ascii="宋体" w:hAnsi="宋体" w:cs="宋体"/>
          <w:szCs w:val="21"/>
        </w:rPr>
        <w:t>专用合同条款；</w:t>
      </w:r>
    </w:p>
    <w:p>
      <w:pPr>
        <w:numPr>
          <w:ilvl w:val="0"/>
          <w:numId w:val="4"/>
        </w:numPr>
        <w:tabs>
          <w:tab w:val="left" w:pos="684"/>
        </w:tabs>
        <w:overflowPunct w:val="0"/>
        <w:spacing w:line="360" w:lineRule="exact"/>
        <w:ind w:left="420"/>
        <w:rPr>
          <w:rFonts w:ascii="宋体" w:hAnsi="宋体" w:cs="宋体"/>
          <w:szCs w:val="21"/>
        </w:rPr>
      </w:pPr>
      <w:r>
        <w:rPr>
          <w:rFonts w:hint="eastAsia" w:ascii="宋体" w:hAnsi="宋体" w:cs="宋体"/>
          <w:szCs w:val="21"/>
        </w:rPr>
        <w:t>通用合同条款；</w:t>
      </w:r>
    </w:p>
    <w:p>
      <w:pPr>
        <w:numPr>
          <w:ilvl w:val="0"/>
          <w:numId w:val="4"/>
        </w:numPr>
        <w:tabs>
          <w:tab w:val="left" w:pos="684"/>
        </w:tabs>
        <w:overflowPunct w:val="0"/>
        <w:spacing w:line="360" w:lineRule="exact"/>
        <w:ind w:left="420"/>
        <w:rPr>
          <w:rFonts w:ascii="宋体" w:hAnsi="宋体" w:cs="宋体"/>
          <w:szCs w:val="21"/>
        </w:rPr>
      </w:pPr>
      <w:r>
        <w:rPr>
          <w:rFonts w:hint="eastAsia" w:ascii="宋体" w:hAnsi="宋体" w:cs="宋体"/>
          <w:szCs w:val="21"/>
        </w:rPr>
        <w:t>供货要求；</w:t>
      </w:r>
    </w:p>
    <w:p>
      <w:pPr>
        <w:numPr>
          <w:ilvl w:val="0"/>
          <w:numId w:val="4"/>
        </w:numPr>
        <w:tabs>
          <w:tab w:val="left" w:pos="684"/>
        </w:tabs>
        <w:overflowPunct w:val="0"/>
        <w:spacing w:line="360" w:lineRule="exact"/>
        <w:ind w:left="420"/>
        <w:rPr>
          <w:rFonts w:ascii="宋体" w:hAnsi="宋体" w:cs="宋体"/>
          <w:szCs w:val="21"/>
        </w:rPr>
      </w:pPr>
      <w:r>
        <w:rPr>
          <w:rFonts w:ascii="宋体" w:hAnsi="宋体" w:cs="宋体"/>
          <w:szCs w:val="21"/>
        </w:rPr>
        <w:t>分项报价表；</w:t>
      </w:r>
    </w:p>
    <w:p>
      <w:pPr>
        <w:numPr>
          <w:ilvl w:val="0"/>
          <w:numId w:val="4"/>
        </w:numPr>
        <w:tabs>
          <w:tab w:val="left" w:pos="684"/>
        </w:tabs>
        <w:overflowPunct w:val="0"/>
        <w:spacing w:line="360" w:lineRule="exact"/>
        <w:ind w:left="420"/>
        <w:rPr>
          <w:rFonts w:ascii="宋体" w:hAnsi="宋体" w:cs="宋体"/>
          <w:szCs w:val="21"/>
        </w:rPr>
      </w:pPr>
      <w:r>
        <w:rPr>
          <w:rFonts w:ascii="宋体" w:hAnsi="宋体" w:cs="宋体"/>
          <w:szCs w:val="21"/>
        </w:rPr>
        <w:t>中标设备技术性能指标的详细描述；</w:t>
      </w:r>
    </w:p>
    <w:p>
      <w:pPr>
        <w:numPr>
          <w:ilvl w:val="0"/>
          <w:numId w:val="4"/>
        </w:numPr>
        <w:tabs>
          <w:tab w:val="left" w:pos="684"/>
        </w:tabs>
        <w:overflowPunct w:val="0"/>
        <w:spacing w:line="360" w:lineRule="exact"/>
        <w:ind w:left="420"/>
        <w:rPr>
          <w:rFonts w:ascii="宋体" w:hAnsi="宋体" w:cs="宋体"/>
          <w:szCs w:val="21"/>
        </w:rPr>
      </w:pPr>
      <w:r>
        <w:rPr>
          <w:rFonts w:ascii="宋体" w:hAnsi="宋体" w:cs="宋体"/>
          <w:szCs w:val="21"/>
        </w:rPr>
        <w:t>技术服务和质保期服务计划；</w:t>
      </w:r>
    </w:p>
    <w:p>
      <w:pPr>
        <w:numPr>
          <w:ilvl w:val="0"/>
          <w:numId w:val="4"/>
        </w:numPr>
        <w:tabs>
          <w:tab w:val="left" w:pos="684"/>
        </w:tabs>
        <w:overflowPunct w:val="0"/>
        <w:spacing w:line="360" w:lineRule="exact"/>
        <w:ind w:left="420"/>
        <w:rPr>
          <w:rFonts w:ascii="宋体" w:hAnsi="宋体" w:cs="宋体"/>
          <w:szCs w:val="21"/>
        </w:rPr>
      </w:pPr>
      <w:r>
        <w:rPr>
          <w:rFonts w:ascii="宋体" w:hAnsi="宋体" w:cs="宋体"/>
          <w:szCs w:val="21"/>
        </w:rPr>
        <w:t>其他合同文件</w:t>
      </w:r>
      <w:r>
        <w:rPr>
          <w:rFonts w:hint="eastAsia" w:ascii="宋体" w:hAnsi="宋体" w:cs="宋体"/>
          <w:szCs w:val="21"/>
        </w:rPr>
        <w:t>。</w:t>
      </w:r>
    </w:p>
    <w:p>
      <w:pPr>
        <w:tabs>
          <w:tab w:val="left" w:pos="684"/>
        </w:tabs>
        <w:overflowPunct w:val="0"/>
        <w:spacing w:line="360" w:lineRule="exact"/>
        <w:ind w:left="420" w:right="120"/>
        <w:rPr>
          <w:rFonts w:ascii="宋体" w:hAnsi="宋体" w:cs="宋体"/>
          <w:szCs w:val="21"/>
        </w:rPr>
      </w:pPr>
      <w:r>
        <w:rPr>
          <w:rFonts w:hint="eastAsia" w:ascii="宋体" w:hAnsi="宋体" w:cs="宋体"/>
          <w:szCs w:val="21"/>
        </w:rPr>
        <w:t>2.上述合同文件互相补充和解释。如果合同文件之间存在矛盾或不一致之处，以上述文件的排列顺序在先者为准。</w:t>
      </w:r>
    </w:p>
    <w:p>
      <w:pPr>
        <w:tabs>
          <w:tab w:val="left" w:pos="4860"/>
          <w:tab w:val="left" w:pos="6640"/>
        </w:tabs>
        <w:spacing w:line="360" w:lineRule="exact"/>
        <w:ind w:left="420"/>
        <w:jc w:val="left"/>
        <w:rPr>
          <w:rFonts w:ascii="宋体" w:hAnsi="宋体" w:cs="宋体"/>
          <w:szCs w:val="21"/>
        </w:rPr>
      </w:pPr>
      <w:r>
        <w:rPr>
          <w:rFonts w:hint="eastAsia" w:ascii="宋体" w:hAnsi="宋体" w:cs="宋体"/>
          <w:szCs w:val="21"/>
        </w:rPr>
        <w:t>3. 签约合同价：人民币（大写）</w:t>
      </w:r>
      <w:r>
        <w:rPr>
          <w:rFonts w:hint="eastAsia" w:ascii="宋体" w:hAnsi="宋体" w:cs="宋体"/>
          <w:szCs w:val="21"/>
          <w:u w:val="single"/>
        </w:rPr>
        <w:tab/>
      </w:r>
      <w:r>
        <w:rPr>
          <w:rFonts w:hint="eastAsia" w:ascii="宋体" w:hAnsi="宋体" w:cs="宋体"/>
          <w:szCs w:val="21"/>
        </w:rPr>
        <w:t>（¥</w:t>
      </w:r>
      <w:r>
        <w:rPr>
          <w:rFonts w:hint="eastAsia" w:ascii="宋体" w:hAnsi="宋体" w:cs="宋体"/>
          <w:szCs w:val="21"/>
          <w:u w:val="single"/>
        </w:rPr>
        <w:tab/>
      </w:r>
      <w:r>
        <w:rPr>
          <w:rFonts w:hint="eastAsia" w:ascii="宋体" w:hAnsi="宋体" w:cs="宋体"/>
          <w:szCs w:val="21"/>
        </w:rPr>
        <w:t>）。</w:t>
      </w:r>
    </w:p>
    <w:p>
      <w:pPr>
        <w:numPr>
          <w:ilvl w:val="0"/>
          <w:numId w:val="5"/>
        </w:numPr>
        <w:tabs>
          <w:tab w:val="clear" w:pos="720"/>
        </w:tabs>
        <w:overflowPunct w:val="0"/>
        <w:spacing w:line="360" w:lineRule="exact"/>
        <w:ind w:left="680" w:hanging="260"/>
        <w:rPr>
          <w:rFonts w:ascii="宋体" w:hAnsi="宋体" w:cs="宋体"/>
          <w:szCs w:val="21"/>
        </w:rPr>
      </w:pPr>
      <w:r>
        <w:rPr>
          <w:rFonts w:hint="eastAsia" w:ascii="宋体" w:hAnsi="宋体" w:cs="宋体"/>
          <w:szCs w:val="21"/>
        </w:rPr>
        <w:t>卖方承诺保证完全按照合同约定提供合同设备和技术服务和质保期服务并修补缺陷：</w:t>
      </w:r>
    </w:p>
    <w:p>
      <w:pPr>
        <w:numPr>
          <w:ilvl w:val="0"/>
          <w:numId w:val="5"/>
        </w:numPr>
        <w:tabs>
          <w:tab w:val="clear" w:pos="720"/>
        </w:tabs>
        <w:overflowPunct w:val="0"/>
        <w:spacing w:line="360" w:lineRule="exact"/>
        <w:ind w:left="680" w:hanging="260"/>
        <w:rPr>
          <w:rFonts w:ascii="宋体" w:hAnsi="宋体" w:cs="宋体"/>
          <w:szCs w:val="21"/>
        </w:rPr>
      </w:pPr>
      <w:r>
        <w:rPr>
          <w:rFonts w:hint="eastAsia" w:ascii="宋体" w:hAnsi="宋体" w:cs="宋体"/>
          <w:szCs w:val="21"/>
        </w:rPr>
        <w:t>买方承诺保证按照合同约定的条件、时间和方式向卖方支付合同价款。</w:t>
      </w:r>
    </w:p>
    <w:p>
      <w:pPr>
        <w:numPr>
          <w:ilvl w:val="0"/>
          <w:numId w:val="5"/>
        </w:numPr>
        <w:tabs>
          <w:tab w:val="clear" w:pos="720"/>
        </w:tabs>
        <w:overflowPunct w:val="0"/>
        <w:spacing w:line="360" w:lineRule="exact"/>
        <w:ind w:left="680" w:hanging="260"/>
        <w:rPr>
          <w:rFonts w:ascii="宋体" w:hAnsi="宋体" w:cs="宋体"/>
          <w:szCs w:val="21"/>
        </w:rPr>
      </w:pPr>
      <w:r>
        <w:rPr>
          <w:rFonts w:hint="eastAsia" w:ascii="宋体" w:hAnsi="宋体" w:cs="宋体"/>
          <w:szCs w:val="21"/>
        </w:rPr>
        <w:t>本合同协议书一式</w:t>
      </w:r>
      <w:r>
        <w:rPr>
          <w:rFonts w:hint="eastAsia" w:ascii="宋体" w:hAnsi="宋体" w:cs="宋体"/>
          <w:szCs w:val="21"/>
          <w:u w:val="single"/>
        </w:rPr>
        <w:tab/>
      </w:r>
      <w:r>
        <w:rPr>
          <w:rFonts w:hint="eastAsia" w:ascii="宋体" w:hAnsi="宋体" w:cs="宋体"/>
          <w:szCs w:val="21"/>
        </w:rPr>
        <w:t>份，合同双方各执</w:t>
      </w:r>
      <w:r>
        <w:rPr>
          <w:rFonts w:hint="eastAsia" w:ascii="宋体" w:hAnsi="宋体" w:cs="宋体"/>
          <w:szCs w:val="21"/>
          <w:u w:val="single"/>
        </w:rPr>
        <w:tab/>
      </w:r>
      <w:r>
        <w:rPr>
          <w:rFonts w:hint="eastAsia" w:ascii="宋体" w:hAnsi="宋体" w:cs="宋体"/>
          <w:szCs w:val="21"/>
        </w:rPr>
        <w:t>份。</w:t>
      </w:r>
    </w:p>
    <w:p>
      <w:pPr>
        <w:numPr>
          <w:ilvl w:val="0"/>
          <w:numId w:val="5"/>
        </w:numPr>
        <w:tabs>
          <w:tab w:val="clear" w:pos="720"/>
        </w:tabs>
        <w:overflowPunct w:val="0"/>
        <w:spacing w:line="360" w:lineRule="exact"/>
        <w:ind w:left="680" w:hanging="260"/>
        <w:rPr>
          <w:rFonts w:ascii="宋体" w:hAnsi="宋体" w:cs="宋体"/>
          <w:szCs w:val="21"/>
        </w:rPr>
      </w:pPr>
      <w:r>
        <w:rPr>
          <w:rFonts w:hint="eastAsia" w:ascii="宋体" w:hAnsi="宋体" w:cs="宋体"/>
          <w:szCs w:val="21"/>
        </w:rPr>
        <w:t>合同未尽事宜，双方另行签订补充协议，补充协议是合同的组成部分。</w:t>
      </w:r>
    </w:p>
    <w:p>
      <w:pPr>
        <w:overflowPunct w:val="0"/>
        <w:spacing w:line="360" w:lineRule="exact"/>
        <w:ind w:left="360"/>
        <w:rPr>
          <w:rFonts w:ascii="宋体" w:hAnsi="宋体" w:cs="宋体"/>
          <w:szCs w:val="21"/>
        </w:rPr>
      </w:pPr>
      <w:r>
        <w:rPr>
          <w:rFonts w:hint="eastAsia" w:ascii="宋体" w:hAnsi="宋体" w:cs="宋体"/>
          <w:szCs w:val="21"/>
        </w:rPr>
        <w:t>买方：（盖单位章）</w:t>
      </w:r>
    </w:p>
    <w:p>
      <w:pPr>
        <w:tabs>
          <w:tab w:val="left" w:pos="5240"/>
        </w:tabs>
        <w:spacing w:line="400" w:lineRule="exact"/>
        <w:jc w:val="right"/>
        <w:rPr>
          <w:rFonts w:ascii="宋体" w:hAnsi="宋体" w:cs="宋体"/>
          <w:szCs w:val="21"/>
        </w:rPr>
      </w:pPr>
      <w:r>
        <w:rPr>
          <w:rFonts w:hint="eastAsia" w:ascii="宋体" w:hAnsi="宋体" w:cs="宋体"/>
          <w:szCs w:val="21"/>
        </w:rPr>
        <w:t>法定代表人或其委托代理人：</w:t>
      </w:r>
      <w:r>
        <w:rPr>
          <w:rFonts w:hint="eastAsia" w:ascii="宋体" w:hAnsi="宋体" w:cs="宋体"/>
          <w:szCs w:val="21"/>
          <w:u w:val="single"/>
        </w:rPr>
        <w:tab/>
      </w:r>
      <w:r>
        <w:rPr>
          <w:rFonts w:hint="eastAsia" w:ascii="宋体" w:hAnsi="宋体" w:cs="宋体"/>
          <w:szCs w:val="21"/>
        </w:rPr>
        <w:t>（签字）</w:t>
      </w:r>
    </w:p>
    <w:p>
      <w:pPr>
        <w:tabs>
          <w:tab w:val="left" w:pos="3400"/>
          <w:tab w:val="left" w:pos="4340"/>
        </w:tabs>
        <w:wordWrap w:val="0"/>
        <w:spacing w:line="400" w:lineRule="exact"/>
        <w:jc w:val="left"/>
        <w:rPr>
          <w:rFonts w:ascii="宋体" w:hAnsi="宋体" w:cs="宋体"/>
          <w:szCs w:val="21"/>
        </w:rPr>
      </w:pPr>
      <w:r>
        <w:rPr>
          <w:rFonts w:hint="eastAsia" w:ascii="宋体" w:hAnsi="宋体" w:cs="宋体"/>
          <w:szCs w:val="21"/>
        </w:rPr>
        <w:t xml:space="preserve">                                                                 年       月     日</w:t>
      </w:r>
    </w:p>
    <w:p>
      <w:pPr>
        <w:tabs>
          <w:tab w:val="left" w:pos="4820"/>
        </w:tabs>
        <w:spacing w:line="400" w:lineRule="exact"/>
        <w:jc w:val="right"/>
        <w:rPr>
          <w:rFonts w:ascii="宋体" w:hAnsi="宋体" w:cs="宋体"/>
          <w:szCs w:val="21"/>
        </w:rPr>
      </w:pPr>
      <w:r>
        <w:rPr>
          <w:rFonts w:hint="eastAsia" w:ascii="宋体" w:hAnsi="宋体" w:cs="宋体"/>
          <w:szCs w:val="21"/>
        </w:rPr>
        <w:t>卖方：</w:t>
      </w:r>
      <w:r>
        <w:rPr>
          <w:rFonts w:hint="eastAsia" w:ascii="宋体" w:hAnsi="宋体" w:cs="宋体"/>
          <w:szCs w:val="21"/>
          <w:u w:val="single"/>
        </w:rPr>
        <w:tab/>
      </w:r>
      <w:r>
        <w:rPr>
          <w:rFonts w:hint="eastAsia" w:ascii="宋体" w:hAnsi="宋体" w:cs="宋体"/>
          <w:szCs w:val="21"/>
        </w:rPr>
        <w:t>（盖单位章）</w:t>
      </w:r>
    </w:p>
    <w:p>
      <w:pPr>
        <w:tabs>
          <w:tab w:val="left" w:pos="5240"/>
        </w:tabs>
        <w:spacing w:line="400" w:lineRule="exact"/>
        <w:jc w:val="right"/>
        <w:rPr>
          <w:rFonts w:ascii="宋体" w:hAnsi="宋体" w:cs="宋体"/>
          <w:szCs w:val="21"/>
        </w:rPr>
      </w:pPr>
      <w:r>
        <w:rPr>
          <w:rFonts w:hint="eastAsia" w:ascii="宋体" w:hAnsi="宋体" w:cs="宋体"/>
          <w:szCs w:val="21"/>
        </w:rPr>
        <w:t>法定代表人或其委托代理人：</w:t>
      </w:r>
      <w:r>
        <w:rPr>
          <w:rFonts w:hint="eastAsia" w:ascii="宋体" w:hAnsi="宋体" w:cs="宋体"/>
          <w:szCs w:val="21"/>
          <w:u w:val="single"/>
        </w:rPr>
        <w:tab/>
      </w:r>
      <w:r>
        <w:rPr>
          <w:rFonts w:hint="eastAsia" w:ascii="宋体" w:hAnsi="宋体" w:cs="宋体"/>
          <w:szCs w:val="21"/>
        </w:rPr>
        <w:t>（签字）</w:t>
      </w:r>
    </w:p>
    <w:p>
      <w:pPr>
        <w:tabs>
          <w:tab w:val="left" w:pos="3400"/>
          <w:tab w:val="left" w:pos="4340"/>
        </w:tabs>
        <w:wordWrap w:val="0"/>
        <w:spacing w:line="400" w:lineRule="exact"/>
        <w:jc w:val="right"/>
        <w:rPr>
          <w:rFonts w:ascii="宋体" w:hAnsi="宋体" w:cs="宋体"/>
          <w:szCs w:val="21"/>
        </w:rPr>
      </w:pPr>
      <w:r>
        <w:rPr>
          <w:rFonts w:hint="eastAsia" w:ascii="宋体" w:hAnsi="宋体" w:cs="宋体"/>
          <w:szCs w:val="21"/>
        </w:rPr>
        <w:t>年 月日</w:t>
      </w:r>
    </w:p>
    <w:p>
      <w:pPr>
        <w:tabs>
          <w:tab w:val="left" w:pos="3400"/>
          <w:tab w:val="left" w:pos="4340"/>
        </w:tabs>
        <w:spacing w:line="360" w:lineRule="exact"/>
        <w:ind w:left="2480"/>
        <w:jc w:val="right"/>
        <w:rPr>
          <w:rFonts w:ascii="宋体" w:hAnsi="宋体" w:cs="宋体"/>
          <w:szCs w:val="21"/>
        </w:rPr>
      </w:pPr>
    </w:p>
    <w:p>
      <w:pPr>
        <w:tabs>
          <w:tab w:val="left" w:pos="3400"/>
          <w:tab w:val="left" w:pos="4340"/>
        </w:tabs>
        <w:spacing w:line="360" w:lineRule="exact"/>
        <w:ind w:left="2480"/>
        <w:jc w:val="right"/>
        <w:rPr>
          <w:rFonts w:ascii="宋体" w:hAnsi="宋体" w:cs="宋体"/>
          <w:szCs w:val="21"/>
        </w:rPr>
      </w:pPr>
    </w:p>
    <w:p>
      <w:pPr>
        <w:tabs>
          <w:tab w:val="left" w:pos="3400"/>
          <w:tab w:val="left" w:pos="4340"/>
        </w:tabs>
        <w:spacing w:line="360" w:lineRule="exact"/>
        <w:ind w:left="2480"/>
        <w:jc w:val="right"/>
        <w:rPr>
          <w:rFonts w:ascii="宋体" w:hAnsi="宋体" w:cs="宋体"/>
          <w:szCs w:val="21"/>
        </w:rPr>
      </w:pPr>
    </w:p>
    <w:p>
      <w:pPr>
        <w:pStyle w:val="4"/>
        <w:rPr>
          <w:rFonts w:ascii="宋体" w:hAnsi="宋体"/>
          <w:sz w:val="28"/>
        </w:rPr>
      </w:pPr>
      <w:bookmarkStart w:id="51" w:name="page64"/>
      <w:bookmarkEnd w:id="51"/>
      <w:bookmarkStart w:id="52" w:name="_Toc31791889"/>
      <w:bookmarkStart w:id="53" w:name="_Toc503445754"/>
      <w:r>
        <w:rPr>
          <w:rFonts w:hint="eastAsia" w:ascii="宋体" w:hAnsi="宋体"/>
          <w:sz w:val="28"/>
        </w:rPr>
        <w:t>附件二：履约保证金格式</w:t>
      </w:r>
      <w:bookmarkEnd w:id="52"/>
      <w:bookmarkEnd w:id="53"/>
    </w:p>
    <w:p>
      <w:pPr>
        <w:spacing w:line="200" w:lineRule="exact"/>
        <w:jc w:val="left"/>
        <w:rPr>
          <w:b/>
          <w:sz w:val="24"/>
        </w:rPr>
      </w:pPr>
    </w:p>
    <w:p>
      <w:pPr>
        <w:spacing w:line="239" w:lineRule="auto"/>
        <w:jc w:val="left"/>
        <w:rPr>
          <w:b/>
          <w:sz w:val="24"/>
        </w:rPr>
      </w:pPr>
      <w:r>
        <w:rPr>
          <w:rFonts w:hint="eastAsia" w:ascii="宋体" w:hAnsi="宋体"/>
          <w:b/>
        </w:rPr>
        <w:t>如采用银行保函，格式如下。</w:t>
      </w:r>
    </w:p>
    <w:p>
      <w:pPr>
        <w:spacing w:line="131" w:lineRule="exact"/>
        <w:jc w:val="left"/>
        <w:rPr>
          <w:sz w:val="24"/>
        </w:rPr>
      </w:pPr>
    </w:p>
    <w:p>
      <w:pPr>
        <w:spacing w:line="239" w:lineRule="auto"/>
        <w:ind w:left="3620"/>
        <w:jc w:val="left"/>
        <w:rPr>
          <w:b/>
          <w:sz w:val="24"/>
        </w:rPr>
      </w:pPr>
      <w:r>
        <w:rPr>
          <w:rFonts w:hint="eastAsia" w:ascii="宋体" w:hAnsi="宋体"/>
          <w:b/>
          <w:sz w:val="28"/>
        </w:rPr>
        <w:t>履约保证金</w:t>
      </w:r>
    </w:p>
    <w:p>
      <w:pPr>
        <w:spacing w:line="200" w:lineRule="exact"/>
        <w:jc w:val="left"/>
        <w:rPr>
          <w:sz w:val="24"/>
        </w:rPr>
      </w:pPr>
    </w:p>
    <w:p>
      <w:pPr>
        <w:spacing w:line="233" w:lineRule="exact"/>
        <w:jc w:val="left"/>
        <w:rPr>
          <w:sz w:val="24"/>
        </w:rPr>
      </w:pPr>
    </w:p>
    <w:p>
      <w:pPr>
        <w:adjustRightInd w:val="0"/>
        <w:snapToGrid w:val="0"/>
        <w:spacing w:line="360" w:lineRule="auto"/>
        <w:jc w:val="left"/>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买方名称）：</w:t>
      </w:r>
    </w:p>
    <w:p>
      <w:pPr>
        <w:adjustRightInd w:val="0"/>
        <w:snapToGrid w:val="0"/>
        <w:spacing w:line="360" w:lineRule="auto"/>
        <w:jc w:val="left"/>
        <w:rPr>
          <w:rFonts w:ascii="宋体" w:hAnsi="宋体" w:cs="宋体"/>
          <w:szCs w:val="21"/>
        </w:rPr>
      </w:pPr>
    </w:p>
    <w:p>
      <w:pPr>
        <w:tabs>
          <w:tab w:val="left" w:pos="7460"/>
          <w:tab w:val="left" w:pos="8420"/>
        </w:tabs>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鉴于（买方名称，以下简称“买方”）接受（卖方名称，以下称“卖方”）于</w:t>
      </w:r>
      <w:r>
        <w:rPr>
          <w:rFonts w:hint="eastAsia" w:ascii="宋体" w:hAnsi="宋体" w:cs="宋体"/>
          <w:szCs w:val="21"/>
          <w:u w:val="single"/>
        </w:rPr>
        <w:tab/>
      </w:r>
      <w:r>
        <w:rPr>
          <w:rFonts w:hint="eastAsia" w:ascii="宋体" w:hAnsi="宋体" w:cs="宋体"/>
          <w:szCs w:val="21"/>
        </w:rPr>
        <w:t>年月日参加</w:t>
      </w:r>
      <w:r>
        <w:rPr>
          <w:rFonts w:hint="eastAsia" w:ascii="宋体" w:hAnsi="宋体" w:cs="宋体"/>
          <w:szCs w:val="21"/>
          <w:u w:val="single"/>
        </w:rPr>
        <w:t>（项目名称）</w:t>
      </w:r>
      <w:r>
        <w:rPr>
          <w:rFonts w:hint="eastAsia" w:ascii="宋体" w:hAnsi="宋体" w:cs="宋体"/>
          <w:szCs w:val="21"/>
        </w:rPr>
        <w:t>设备采购招标项目的投标。我方愿意无条件地、不可撤销地就卖方履行与你方订立的合同，向你方提供担保。</w:t>
      </w:r>
      <w:r>
        <w:rPr>
          <w:rFonts w:hint="eastAsia" w:ascii="宋体" w:hAnsi="宋体" w:cs="宋体"/>
          <w:szCs w:val="21"/>
        </w:rPr>
        <w:tab/>
      </w:r>
      <w:r>
        <w:rPr>
          <w:rFonts w:hint="eastAsia" w:ascii="宋体" w:hAnsi="宋体" w:cs="宋体"/>
          <w:szCs w:val="21"/>
        </w:rPr>
        <w:tab/>
      </w:r>
    </w:p>
    <w:p>
      <w:pPr>
        <w:tabs>
          <w:tab w:val="left" w:pos="7460"/>
          <w:tab w:val="left" w:pos="8420"/>
        </w:tabs>
        <w:adjustRightInd w:val="0"/>
        <w:snapToGrid w:val="0"/>
        <w:spacing w:line="360" w:lineRule="auto"/>
        <w:ind w:left="420"/>
        <w:jc w:val="left"/>
        <w:rPr>
          <w:rFonts w:ascii="宋体" w:hAnsi="宋体" w:cs="宋体"/>
          <w:szCs w:val="21"/>
        </w:rPr>
      </w:pPr>
      <w:r>
        <w:rPr>
          <w:rFonts w:hint="eastAsia" w:ascii="宋体" w:hAnsi="宋体" w:cs="宋体"/>
          <w:szCs w:val="21"/>
        </w:rPr>
        <w:t>1. 担保金额人民币（大写）（¥）。</w:t>
      </w:r>
    </w:p>
    <w:p>
      <w:pPr>
        <w:numPr>
          <w:ilvl w:val="0"/>
          <w:numId w:val="6"/>
        </w:numPr>
        <w:tabs>
          <w:tab w:val="clear" w:pos="720"/>
        </w:tabs>
        <w:overflowPunct w:val="0"/>
        <w:adjustRightInd w:val="0"/>
        <w:snapToGrid w:val="0"/>
        <w:spacing w:line="360" w:lineRule="auto"/>
        <w:ind w:left="0" w:right="100" w:firstLine="420"/>
        <w:rPr>
          <w:rFonts w:ascii="宋体" w:hAnsi="宋体" w:cs="宋体"/>
          <w:szCs w:val="21"/>
        </w:rPr>
      </w:pPr>
      <w:r>
        <w:rPr>
          <w:rFonts w:hint="eastAsia" w:ascii="宋体" w:hAnsi="宋体" w:cs="宋体"/>
          <w:szCs w:val="21"/>
        </w:rPr>
        <w:t>担保有效期自买方与卖方签订的合同生效之日起至合同设备验收证书或验收款支付函签署之日起 28 日后失效。</w:t>
      </w:r>
    </w:p>
    <w:p>
      <w:pPr>
        <w:numPr>
          <w:ilvl w:val="0"/>
          <w:numId w:val="6"/>
        </w:numPr>
        <w:tabs>
          <w:tab w:val="clear" w:pos="720"/>
        </w:tabs>
        <w:overflowPunct w:val="0"/>
        <w:adjustRightInd w:val="0"/>
        <w:snapToGrid w:val="0"/>
        <w:spacing w:line="360" w:lineRule="auto"/>
        <w:ind w:left="0" w:right="100" w:firstLine="420"/>
        <w:rPr>
          <w:rFonts w:ascii="宋体" w:hAnsi="宋体" w:cs="宋体"/>
          <w:szCs w:val="21"/>
        </w:rPr>
      </w:pPr>
      <w:r>
        <w:rPr>
          <w:rFonts w:hint="eastAsia" w:ascii="宋体" w:hAnsi="宋体" w:cs="宋体"/>
          <w:szCs w:val="21"/>
        </w:rPr>
        <w:t>在本担保有效期内，如果卖方不履行合同约定的义务或其履行不符合合同的约定，我方在收到你方以书面形式提出的在担保金额内的赔偿要求后，在 7 日内无条件支付。</w:t>
      </w:r>
    </w:p>
    <w:p>
      <w:pPr>
        <w:numPr>
          <w:ilvl w:val="0"/>
          <w:numId w:val="6"/>
        </w:numPr>
        <w:tabs>
          <w:tab w:val="clear" w:pos="720"/>
        </w:tabs>
        <w:overflowPunct w:val="0"/>
        <w:adjustRightInd w:val="0"/>
        <w:snapToGrid w:val="0"/>
        <w:spacing w:line="360" w:lineRule="auto"/>
        <w:ind w:left="680" w:hanging="260"/>
        <w:rPr>
          <w:rFonts w:ascii="宋体" w:hAnsi="宋体" w:cs="宋体"/>
          <w:szCs w:val="21"/>
        </w:rPr>
      </w:pPr>
      <w:r>
        <w:rPr>
          <w:rFonts w:hint="eastAsia" w:ascii="宋体" w:hAnsi="宋体" w:cs="宋体"/>
          <w:szCs w:val="21"/>
        </w:rPr>
        <w:t>买方和卖方变更合同时，无论我方是否收到该变更，我方承担本担保规定的义务不变。</w:t>
      </w:r>
    </w:p>
    <w:p>
      <w:pPr>
        <w:tabs>
          <w:tab w:val="left" w:pos="680"/>
        </w:tabs>
        <w:overflowPunct w:val="0"/>
        <w:adjustRightInd w:val="0"/>
        <w:snapToGrid w:val="0"/>
        <w:spacing w:line="360" w:lineRule="auto"/>
        <w:rPr>
          <w:rFonts w:ascii="宋体" w:hAnsi="宋体" w:cs="宋体"/>
          <w:szCs w:val="21"/>
        </w:rPr>
      </w:pPr>
    </w:p>
    <w:p>
      <w:pPr>
        <w:tabs>
          <w:tab w:val="left" w:pos="680"/>
        </w:tabs>
        <w:overflowPunct w:val="0"/>
        <w:adjustRightInd w:val="0"/>
        <w:snapToGrid w:val="0"/>
        <w:spacing w:line="360" w:lineRule="auto"/>
        <w:rPr>
          <w:rFonts w:ascii="宋体" w:hAnsi="宋体" w:cs="宋体"/>
          <w:szCs w:val="21"/>
        </w:rPr>
      </w:pPr>
    </w:p>
    <w:p>
      <w:pPr>
        <w:tabs>
          <w:tab w:val="left" w:pos="680"/>
        </w:tabs>
        <w:overflowPunct w:val="0"/>
        <w:adjustRightInd w:val="0"/>
        <w:snapToGrid w:val="0"/>
        <w:spacing w:line="360" w:lineRule="auto"/>
        <w:rPr>
          <w:rFonts w:ascii="宋体" w:hAnsi="宋体" w:cs="宋体"/>
          <w:szCs w:val="21"/>
        </w:rPr>
      </w:pPr>
    </w:p>
    <w:p>
      <w:pPr>
        <w:tabs>
          <w:tab w:val="left" w:pos="680"/>
        </w:tabs>
        <w:overflowPunct w:val="0"/>
        <w:adjustRightInd w:val="0"/>
        <w:snapToGrid w:val="0"/>
        <w:spacing w:line="360" w:lineRule="auto"/>
        <w:ind w:left="2736" w:leftChars="1303" w:firstLine="2"/>
        <w:rPr>
          <w:rFonts w:ascii="宋体" w:hAnsi="宋体" w:cs="宋体"/>
          <w:szCs w:val="21"/>
        </w:rPr>
      </w:pPr>
      <w:r>
        <w:rPr>
          <w:rFonts w:hint="eastAsia" w:ascii="宋体" w:hAnsi="宋体" w:cs="宋体"/>
          <w:szCs w:val="21"/>
        </w:rPr>
        <w:t>担保人名称：（盖单位章）</w:t>
      </w:r>
    </w:p>
    <w:p>
      <w:pPr>
        <w:tabs>
          <w:tab w:val="left" w:pos="680"/>
        </w:tabs>
        <w:overflowPunct w:val="0"/>
        <w:adjustRightInd w:val="0"/>
        <w:snapToGrid w:val="0"/>
        <w:spacing w:line="360" w:lineRule="auto"/>
        <w:ind w:left="2736" w:leftChars="1303" w:firstLine="2"/>
        <w:rPr>
          <w:rFonts w:ascii="宋体" w:hAnsi="宋体" w:cs="宋体"/>
        </w:rPr>
      </w:pPr>
      <w:r>
        <w:rPr>
          <w:rFonts w:hint="eastAsia" w:ascii="宋体" w:hAnsi="宋体" w:cs="宋体"/>
        </w:rPr>
        <w:t>法定代表人或其委托代理人：（签字）</w:t>
      </w:r>
    </w:p>
    <w:p>
      <w:pPr>
        <w:tabs>
          <w:tab w:val="left" w:pos="680"/>
        </w:tabs>
        <w:overflowPunct w:val="0"/>
        <w:adjustRightInd w:val="0"/>
        <w:snapToGrid w:val="0"/>
        <w:spacing w:line="360" w:lineRule="auto"/>
        <w:ind w:left="2736" w:leftChars="1303" w:firstLine="2"/>
        <w:rPr>
          <w:rFonts w:ascii="宋体" w:hAnsi="宋体" w:cs="宋体"/>
          <w:szCs w:val="21"/>
          <w:u w:val="single"/>
        </w:rPr>
      </w:pPr>
      <w:r>
        <w:rPr>
          <w:rFonts w:hint="eastAsia" w:ascii="宋体" w:hAnsi="宋体" w:cs="宋体"/>
        </w:rPr>
        <w:t>地址：</w:t>
      </w:r>
    </w:p>
    <w:p>
      <w:pPr>
        <w:tabs>
          <w:tab w:val="left" w:pos="680"/>
        </w:tabs>
        <w:overflowPunct w:val="0"/>
        <w:adjustRightInd w:val="0"/>
        <w:snapToGrid w:val="0"/>
        <w:spacing w:line="360" w:lineRule="auto"/>
        <w:ind w:left="2736" w:leftChars="1303" w:firstLine="2"/>
        <w:rPr>
          <w:rFonts w:ascii="宋体" w:hAnsi="宋体" w:cs="宋体"/>
          <w:szCs w:val="21"/>
          <w:u w:val="single"/>
        </w:rPr>
      </w:pPr>
      <w:r>
        <w:rPr>
          <w:rFonts w:hint="eastAsia" w:ascii="宋体" w:hAnsi="宋体" w:cs="宋体"/>
          <w:szCs w:val="21"/>
        </w:rPr>
        <w:t>邮政编码：</w:t>
      </w:r>
    </w:p>
    <w:p>
      <w:pPr>
        <w:tabs>
          <w:tab w:val="left" w:pos="680"/>
        </w:tabs>
        <w:overflowPunct w:val="0"/>
        <w:adjustRightInd w:val="0"/>
        <w:snapToGrid w:val="0"/>
        <w:spacing w:line="360" w:lineRule="auto"/>
        <w:ind w:left="2736" w:leftChars="1303" w:firstLine="2"/>
        <w:rPr>
          <w:rFonts w:ascii="宋体" w:hAnsi="宋体" w:cs="宋体"/>
          <w:szCs w:val="21"/>
          <w:u w:val="single"/>
        </w:rPr>
      </w:pPr>
      <w:r>
        <w:rPr>
          <w:rFonts w:hint="eastAsia" w:ascii="宋体" w:hAnsi="宋体" w:cs="宋体"/>
          <w:szCs w:val="21"/>
        </w:rPr>
        <w:t>电话：</w:t>
      </w:r>
    </w:p>
    <w:p>
      <w:pPr>
        <w:tabs>
          <w:tab w:val="left" w:pos="680"/>
        </w:tabs>
        <w:overflowPunct w:val="0"/>
        <w:adjustRightInd w:val="0"/>
        <w:snapToGrid w:val="0"/>
        <w:spacing w:line="360" w:lineRule="auto"/>
        <w:ind w:left="2736" w:leftChars="1303" w:firstLine="2"/>
        <w:jc w:val="right"/>
        <w:rPr>
          <w:rFonts w:ascii="宋体" w:hAnsi="宋体" w:cs="宋体"/>
          <w:szCs w:val="21"/>
        </w:rPr>
      </w:pPr>
      <w:r>
        <w:rPr>
          <w:rFonts w:hint="eastAsia" w:ascii="宋体" w:hAnsi="宋体" w:cs="宋体"/>
          <w:szCs w:val="21"/>
        </w:rPr>
        <w:t>年   月   日</w:t>
      </w:r>
    </w:p>
    <w:p>
      <w:pPr>
        <w:spacing w:line="200" w:lineRule="exact"/>
        <w:jc w:val="left"/>
        <w:rPr>
          <w:sz w:val="24"/>
        </w:rPr>
      </w:pPr>
    </w:p>
    <w:p>
      <w:pPr>
        <w:spacing w:line="200" w:lineRule="exact"/>
        <w:jc w:val="left"/>
        <w:rPr>
          <w:sz w:val="24"/>
        </w:rPr>
      </w:pPr>
    </w:p>
    <w:p>
      <w:pPr>
        <w:spacing w:line="200" w:lineRule="exact"/>
        <w:jc w:val="left"/>
        <w:rPr>
          <w:sz w:val="24"/>
        </w:rPr>
      </w:pPr>
      <w:bookmarkStart w:id="54" w:name="page65"/>
      <w:bookmarkEnd w:id="54"/>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364" w:lineRule="exact"/>
        <w:jc w:val="left"/>
        <w:rPr>
          <w:sz w:val="24"/>
        </w:rPr>
      </w:pPr>
    </w:p>
    <w:p>
      <w:pPr>
        <w:spacing w:line="239" w:lineRule="auto"/>
        <w:jc w:val="left"/>
        <w:rPr>
          <w:rFonts w:ascii="宋体" w:hAnsi="宋体"/>
          <w:b/>
          <w:sz w:val="43"/>
        </w:rPr>
      </w:pPr>
      <w:r>
        <w:rPr>
          <w:rFonts w:hint="eastAsia" w:ascii="宋体" w:hAnsi="宋体"/>
          <w:b/>
          <w:sz w:val="43"/>
        </w:rPr>
        <w:br w:type="page"/>
      </w:r>
    </w:p>
    <w:p>
      <w:pPr>
        <w:spacing w:line="239" w:lineRule="auto"/>
        <w:jc w:val="left"/>
        <w:rPr>
          <w:rFonts w:ascii="宋体" w:hAnsi="宋体"/>
          <w:b/>
          <w:sz w:val="43"/>
        </w:rPr>
      </w:pPr>
    </w:p>
    <w:p>
      <w:pPr>
        <w:spacing w:line="239" w:lineRule="auto"/>
        <w:jc w:val="left"/>
        <w:rPr>
          <w:rFonts w:ascii="宋体" w:hAnsi="宋体"/>
          <w:b/>
          <w:sz w:val="43"/>
        </w:rPr>
      </w:pPr>
    </w:p>
    <w:p>
      <w:pPr>
        <w:spacing w:line="239" w:lineRule="auto"/>
        <w:jc w:val="left"/>
        <w:rPr>
          <w:rFonts w:ascii="宋体" w:hAnsi="宋体"/>
          <w:b/>
          <w:sz w:val="43"/>
        </w:rPr>
      </w:pPr>
    </w:p>
    <w:p>
      <w:pPr>
        <w:spacing w:line="239" w:lineRule="auto"/>
        <w:jc w:val="left"/>
        <w:rPr>
          <w:rFonts w:ascii="宋体" w:hAnsi="宋体"/>
          <w:b/>
          <w:sz w:val="43"/>
        </w:rPr>
      </w:pPr>
    </w:p>
    <w:p>
      <w:pPr>
        <w:spacing w:line="239" w:lineRule="auto"/>
        <w:jc w:val="left"/>
        <w:rPr>
          <w:rFonts w:ascii="宋体" w:hAnsi="宋体"/>
          <w:b/>
          <w:sz w:val="43"/>
        </w:rPr>
      </w:pPr>
    </w:p>
    <w:p>
      <w:pPr>
        <w:spacing w:line="239" w:lineRule="auto"/>
        <w:jc w:val="left"/>
        <w:rPr>
          <w:rFonts w:ascii="宋体" w:hAnsi="宋体"/>
          <w:b/>
          <w:sz w:val="43"/>
        </w:rPr>
      </w:pPr>
    </w:p>
    <w:p>
      <w:pPr>
        <w:spacing w:line="239" w:lineRule="auto"/>
        <w:jc w:val="left"/>
        <w:rPr>
          <w:rFonts w:ascii="宋体" w:hAnsi="宋体"/>
          <w:b/>
          <w:sz w:val="43"/>
        </w:rPr>
      </w:pPr>
    </w:p>
    <w:p>
      <w:pPr>
        <w:pStyle w:val="3"/>
        <w:bidi w:val="0"/>
        <w:jc w:val="center"/>
        <w:rPr>
          <w:sz w:val="52"/>
          <w:szCs w:val="52"/>
        </w:rPr>
      </w:pPr>
      <w:bookmarkStart w:id="55" w:name="_Toc31791890"/>
      <w:r>
        <w:rPr>
          <w:rFonts w:hint="eastAsia"/>
          <w:sz w:val="52"/>
          <w:szCs w:val="52"/>
        </w:rPr>
        <w:t>第二卷</w:t>
      </w:r>
      <w:bookmarkEnd w:id="55"/>
    </w:p>
    <w:p>
      <w:pPr>
        <w:jc w:val="center"/>
        <w:rPr>
          <w:sz w:val="24"/>
        </w:rPr>
      </w:pPr>
    </w:p>
    <w:p>
      <w:pPr>
        <w:jc w:val="center"/>
        <w:rPr>
          <w:sz w:val="24"/>
        </w:rPr>
      </w:pPr>
    </w:p>
    <w:p>
      <w:pPr>
        <w:jc w:val="center"/>
        <w:rPr>
          <w:sz w:val="24"/>
        </w:rPr>
      </w:pPr>
    </w:p>
    <w:p>
      <w:pPr>
        <w:jc w:val="center"/>
        <w:rPr>
          <w:sz w:val="24"/>
        </w:rPr>
      </w:pPr>
    </w:p>
    <w:p>
      <w:pPr>
        <w:jc w:val="center"/>
        <w:rPr>
          <w:sz w:val="24"/>
        </w:rPr>
      </w:pPr>
    </w:p>
    <w:p>
      <w:pPr>
        <w:jc w:val="center"/>
        <w:rPr>
          <w:sz w:val="24"/>
        </w:rPr>
      </w:pPr>
    </w:p>
    <w:p>
      <w:pPr>
        <w:jc w:val="center"/>
        <w:rPr>
          <w:sz w:val="24"/>
        </w:rPr>
      </w:pPr>
    </w:p>
    <w:p>
      <w:pPr>
        <w:jc w:val="center"/>
        <w:rPr>
          <w:sz w:val="24"/>
        </w:rPr>
      </w:pPr>
    </w:p>
    <w:p>
      <w:pPr>
        <w:jc w:val="center"/>
        <w:rPr>
          <w:sz w:val="24"/>
        </w:rPr>
      </w:pPr>
    </w:p>
    <w:p>
      <w:pPr>
        <w:jc w:val="center"/>
        <w:rPr>
          <w:sz w:val="24"/>
        </w:rPr>
      </w:pPr>
    </w:p>
    <w:p>
      <w:pPr>
        <w:jc w:val="center"/>
        <w:rPr>
          <w:sz w:val="24"/>
        </w:rPr>
      </w:pPr>
    </w:p>
    <w:p>
      <w:pPr>
        <w:jc w:val="center"/>
        <w:rPr>
          <w:sz w:val="24"/>
        </w:rPr>
      </w:pPr>
    </w:p>
    <w:p>
      <w:pPr>
        <w:jc w:val="center"/>
        <w:rPr>
          <w:sz w:val="24"/>
        </w:rPr>
      </w:pPr>
    </w:p>
    <w:p>
      <w:pPr>
        <w:jc w:val="center"/>
        <w:rPr>
          <w:sz w:val="24"/>
        </w:rPr>
      </w:pPr>
    </w:p>
    <w:p>
      <w:pPr>
        <w:jc w:val="center"/>
        <w:rPr>
          <w:sz w:val="24"/>
        </w:rPr>
      </w:pPr>
    </w:p>
    <w:p>
      <w:pPr>
        <w:jc w:val="center"/>
        <w:rPr>
          <w:sz w:val="24"/>
        </w:rPr>
      </w:pPr>
    </w:p>
    <w:p>
      <w:pPr>
        <w:jc w:val="center"/>
        <w:rPr>
          <w:sz w:val="24"/>
        </w:rPr>
      </w:pPr>
    </w:p>
    <w:p>
      <w:pPr>
        <w:jc w:val="center"/>
        <w:rPr>
          <w:sz w:val="24"/>
        </w:rPr>
      </w:pPr>
    </w:p>
    <w:p>
      <w:pPr>
        <w:jc w:val="center"/>
        <w:rPr>
          <w:sz w:val="24"/>
        </w:rPr>
      </w:pPr>
    </w:p>
    <w:p>
      <w:pPr>
        <w:jc w:val="center"/>
        <w:rPr>
          <w:sz w:val="24"/>
        </w:rPr>
      </w:pPr>
    </w:p>
    <w:p>
      <w:pPr>
        <w:jc w:val="center"/>
        <w:rPr>
          <w:sz w:val="24"/>
        </w:rPr>
      </w:pPr>
    </w:p>
    <w:p>
      <w:pPr>
        <w:jc w:val="center"/>
        <w:rPr>
          <w:sz w:val="24"/>
        </w:rPr>
      </w:pPr>
    </w:p>
    <w:p>
      <w:pPr>
        <w:jc w:val="center"/>
        <w:rPr>
          <w:sz w:val="24"/>
        </w:rPr>
      </w:pPr>
    </w:p>
    <w:p>
      <w:pPr>
        <w:jc w:val="center"/>
        <w:rPr>
          <w:sz w:val="24"/>
        </w:rPr>
      </w:pPr>
    </w:p>
    <w:p>
      <w:pPr>
        <w:jc w:val="center"/>
        <w:rPr>
          <w:sz w:val="24"/>
        </w:rPr>
      </w:pPr>
    </w:p>
    <w:p>
      <w:pPr>
        <w:jc w:val="center"/>
        <w:rPr>
          <w:sz w:val="24"/>
        </w:rPr>
      </w:pPr>
    </w:p>
    <w:p>
      <w:pPr>
        <w:pStyle w:val="3"/>
        <w:spacing w:before="0" w:after="0" w:line="500" w:lineRule="exact"/>
        <w:jc w:val="center"/>
        <w:rPr>
          <w:rFonts w:ascii="宋体" w:hAnsi="宋体"/>
        </w:rPr>
      </w:pPr>
      <w:bookmarkStart w:id="56" w:name="_Toc31791891"/>
      <w:r>
        <w:rPr>
          <w:rFonts w:hint="eastAsia" w:ascii="宋体" w:hAnsi="宋体"/>
        </w:rPr>
        <w:t>第五章 供货要求</w:t>
      </w:r>
      <w:bookmarkEnd w:id="56"/>
    </w:p>
    <w:p>
      <w:pPr>
        <w:jc w:val="center"/>
        <w:rPr>
          <w:rFonts w:ascii="宋体" w:hAnsi="宋体" w:cs="宋体"/>
          <w:b/>
          <w:sz w:val="28"/>
          <w:szCs w:val="28"/>
          <w:highlight w:val="green"/>
        </w:rPr>
      </w:pPr>
    </w:p>
    <w:p>
      <w:pPr>
        <w:jc w:val="center"/>
        <w:rPr>
          <w:rFonts w:ascii="宋体" w:hAnsi="宋体" w:cs="宋体"/>
          <w:b/>
          <w:sz w:val="28"/>
          <w:szCs w:val="28"/>
        </w:rPr>
      </w:pPr>
      <w:r>
        <w:rPr>
          <w:rFonts w:hint="eastAsia" w:ascii="宋体" w:hAnsi="宋体" w:cs="宋体"/>
          <w:b/>
          <w:sz w:val="28"/>
          <w:szCs w:val="28"/>
        </w:rPr>
        <w:t>供货要求</w:t>
      </w:r>
    </w:p>
    <w:p>
      <w:pPr>
        <w:jc w:val="center"/>
        <w:rPr>
          <w:rFonts w:ascii="宋体" w:hAnsi="宋体" w:cs="宋体"/>
          <w:b/>
          <w:sz w:val="28"/>
          <w:szCs w:val="28"/>
        </w:rPr>
      </w:pPr>
    </w:p>
    <w:p>
      <w:pPr>
        <w:pStyle w:val="4"/>
        <w:keepNext/>
        <w:keepLines/>
        <w:pageBreakBefore w:val="0"/>
        <w:widowControl/>
        <w:kinsoku/>
        <w:wordWrap/>
        <w:overflowPunct/>
        <w:topLinePunct w:val="0"/>
        <w:autoSpaceDE/>
        <w:autoSpaceDN/>
        <w:bidi w:val="0"/>
        <w:adjustRightInd/>
        <w:snapToGrid/>
        <w:spacing w:line="15" w:lineRule="auto"/>
        <w:textAlignment w:val="auto"/>
        <w:rPr>
          <w:sz w:val="28"/>
          <w:szCs w:val="28"/>
        </w:rPr>
      </w:pPr>
      <w:r>
        <w:rPr>
          <w:rFonts w:hint="eastAsia"/>
          <w:sz w:val="28"/>
          <w:szCs w:val="28"/>
        </w:rPr>
        <w:t>一、项目概况及总体要求</w:t>
      </w:r>
    </w:p>
    <w:p>
      <w:pPr>
        <w:widowControl w:val="0"/>
        <w:spacing w:line="500" w:lineRule="exact"/>
        <w:ind w:firstLine="480" w:firstLineChars="200"/>
        <w:rPr>
          <w:rFonts w:ascii="宋体" w:hAnsi="宋体" w:cs="Arial"/>
          <w:kern w:val="0"/>
          <w:sz w:val="24"/>
          <w:szCs w:val="24"/>
        </w:rPr>
      </w:pPr>
      <w:r>
        <w:rPr>
          <w:rFonts w:hint="eastAsia" w:ascii="宋体" w:hAnsi="宋体" w:cs="Arial"/>
          <w:kern w:val="0"/>
          <w:sz w:val="24"/>
          <w:szCs w:val="24"/>
        </w:rPr>
        <w:t>本项目为吉林省哈达山松原灌区大安龙海灌片工程（渠系闸门电气设备、渠系闸门视频监视设备、通讯设备等采购）。</w:t>
      </w:r>
    </w:p>
    <w:p>
      <w:pPr>
        <w:widowControl w:val="0"/>
        <w:spacing w:line="500" w:lineRule="exact"/>
        <w:ind w:firstLine="480" w:firstLineChars="200"/>
        <w:rPr>
          <w:rFonts w:ascii="宋体" w:hAnsi="宋体"/>
          <w:sz w:val="24"/>
          <w:szCs w:val="24"/>
        </w:rPr>
      </w:pPr>
      <w:r>
        <w:rPr>
          <w:rFonts w:hint="eastAsia" w:ascii="宋体" w:hAnsi="宋体"/>
          <w:sz w:val="24"/>
          <w:szCs w:val="24"/>
        </w:rPr>
        <w:t>1、本工程所用</w:t>
      </w:r>
      <w:r>
        <w:rPr>
          <w:rFonts w:hint="eastAsia" w:ascii="宋体" w:hAnsi="宋体" w:cs="宋体"/>
          <w:kern w:val="0"/>
          <w:sz w:val="24"/>
          <w:szCs w:val="24"/>
        </w:rPr>
        <w:t>设备</w:t>
      </w:r>
      <w:r>
        <w:rPr>
          <w:rFonts w:hint="eastAsia" w:ascii="宋体" w:hAnsi="宋体"/>
          <w:sz w:val="24"/>
          <w:szCs w:val="24"/>
        </w:rPr>
        <w:t>必须符合设计、施工图纸及现行国家标准的规定。</w:t>
      </w:r>
    </w:p>
    <w:p>
      <w:pPr>
        <w:spacing w:line="500" w:lineRule="exact"/>
        <w:ind w:firstLine="480" w:firstLineChars="200"/>
        <w:jc w:val="left"/>
        <w:rPr>
          <w:rFonts w:ascii="宋体" w:hAnsi="宋体"/>
          <w:sz w:val="24"/>
          <w:szCs w:val="24"/>
        </w:rPr>
      </w:pPr>
      <w:r>
        <w:rPr>
          <w:rFonts w:hint="eastAsia" w:ascii="宋体" w:hAnsi="宋体"/>
          <w:sz w:val="24"/>
          <w:szCs w:val="24"/>
        </w:rPr>
        <w:t>2、本项目采购清单报价为综合单价，最终采购数量是以发包人实际需要采购的数量为准，最终结算的工程量是承包人实际完成的并按技术标准和要求等规定计算的数量。</w:t>
      </w:r>
    </w:p>
    <w:p>
      <w:pPr>
        <w:spacing w:line="500" w:lineRule="exact"/>
        <w:ind w:firstLine="480" w:firstLineChars="200"/>
        <w:jc w:val="left"/>
        <w:rPr>
          <w:rFonts w:ascii="宋体" w:hAnsi="宋体"/>
          <w:sz w:val="24"/>
          <w:szCs w:val="24"/>
        </w:rPr>
      </w:pPr>
      <w:r>
        <w:rPr>
          <w:rFonts w:hint="eastAsia" w:ascii="宋体" w:hAnsi="宋体"/>
          <w:sz w:val="24"/>
          <w:szCs w:val="24"/>
        </w:rPr>
        <w:t>3、</w:t>
      </w:r>
      <w:r>
        <w:rPr>
          <w:rFonts w:hint="eastAsia" w:ascii="宋体" w:hAnsi="宋体" w:cs="Arial"/>
          <w:bCs/>
          <w:kern w:val="0"/>
          <w:sz w:val="24"/>
        </w:rPr>
        <w:t>交货日期：2020年12月31日前按业主要求陆续供货</w:t>
      </w:r>
      <w:r>
        <w:rPr>
          <w:rFonts w:hint="eastAsia" w:ascii="宋体" w:hAnsi="宋体" w:cs="宋体"/>
          <w:kern w:val="0"/>
          <w:sz w:val="24"/>
        </w:rPr>
        <w:t>。</w:t>
      </w:r>
    </w:p>
    <w:p>
      <w:pPr>
        <w:jc w:val="center"/>
        <w:rPr>
          <w:rFonts w:ascii="宋体" w:hAnsi="宋体" w:cs="宋体"/>
          <w:b/>
          <w:sz w:val="28"/>
          <w:szCs w:val="28"/>
        </w:rPr>
      </w:pPr>
    </w:p>
    <w:p>
      <w:pPr>
        <w:numPr>
          <w:ilvl w:val="0"/>
          <w:numId w:val="7"/>
        </w:numPr>
        <w:ind w:left="220" w:right="-20"/>
        <w:jc w:val="left"/>
        <w:rPr>
          <w:rFonts w:ascii="宋体" w:hAnsi="宋体" w:cs="宋体"/>
          <w:b/>
          <w:sz w:val="24"/>
        </w:rPr>
      </w:pPr>
      <w:r>
        <w:rPr>
          <w:rFonts w:hint="eastAsia" w:ascii="宋体" w:hAnsi="宋体" w:cs="宋体"/>
          <w:b/>
          <w:sz w:val="24"/>
        </w:rPr>
        <w:t>设备</w:t>
      </w:r>
      <w:r>
        <w:rPr>
          <w:rFonts w:ascii="宋体" w:hAnsi="宋体" w:cs="宋体"/>
          <w:b/>
          <w:sz w:val="24"/>
        </w:rPr>
        <w:t>需求</w:t>
      </w:r>
      <w:r>
        <w:rPr>
          <w:rFonts w:ascii="宋体" w:hAnsi="宋体" w:cs="宋体"/>
          <w:b/>
          <w:spacing w:val="-3"/>
          <w:sz w:val="24"/>
        </w:rPr>
        <w:t>一览</w:t>
      </w:r>
      <w:r>
        <w:rPr>
          <w:rFonts w:ascii="宋体" w:hAnsi="宋体" w:cs="宋体"/>
          <w:b/>
          <w:sz w:val="24"/>
        </w:rPr>
        <w:t>表</w:t>
      </w:r>
    </w:p>
    <w:tbl>
      <w:tblPr>
        <w:tblStyle w:val="68"/>
        <w:tblW w:w="9514"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68"/>
        <w:gridCol w:w="5807"/>
        <w:gridCol w:w="1328"/>
        <w:gridCol w:w="111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268" w:type="dxa"/>
            <w:tcBorders>
              <w:tl2br w:val="nil"/>
              <w:tr2bl w:val="nil"/>
            </w:tcBorders>
            <w:vAlign w:val="center"/>
          </w:tcPr>
          <w:p>
            <w:pPr>
              <w:pStyle w:val="109"/>
              <w:adjustRightInd w:val="0"/>
              <w:snapToGrid w:val="0"/>
              <w:jc w:val="center"/>
              <w:rPr>
                <w:rFonts w:ascii="宋体" w:hAnsi="宋体"/>
                <w:b/>
                <w:szCs w:val="21"/>
              </w:rPr>
            </w:pPr>
            <w:r>
              <w:rPr>
                <w:rFonts w:ascii="宋体" w:hAnsi="宋体"/>
                <w:b/>
                <w:szCs w:val="21"/>
              </w:rPr>
              <w:t>序号</w:t>
            </w:r>
          </w:p>
        </w:tc>
        <w:tc>
          <w:tcPr>
            <w:tcW w:w="5807" w:type="dxa"/>
            <w:tcBorders>
              <w:tl2br w:val="nil"/>
              <w:tr2bl w:val="nil"/>
            </w:tcBorders>
            <w:vAlign w:val="center"/>
          </w:tcPr>
          <w:p>
            <w:pPr>
              <w:pStyle w:val="109"/>
              <w:adjustRightInd w:val="0"/>
              <w:snapToGrid w:val="0"/>
              <w:jc w:val="center"/>
              <w:rPr>
                <w:rFonts w:ascii="宋体" w:hAnsi="宋体"/>
                <w:b/>
                <w:szCs w:val="21"/>
              </w:rPr>
            </w:pPr>
            <w:r>
              <w:rPr>
                <w:rFonts w:ascii="宋体" w:hAnsi="宋体"/>
                <w:b/>
                <w:szCs w:val="21"/>
              </w:rPr>
              <w:t>名称及规格</w:t>
            </w:r>
          </w:p>
        </w:tc>
        <w:tc>
          <w:tcPr>
            <w:tcW w:w="1328" w:type="dxa"/>
            <w:tcBorders>
              <w:tl2br w:val="nil"/>
              <w:tr2bl w:val="nil"/>
            </w:tcBorders>
            <w:vAlign w:val="center"/>
          </w:tcPr>
          <w:p>
            <w:pPr>
              <w:pStyle w:val="109"/>
              <w:adjustRightInd w:val="0"/>
              <w:snapToGrid w:val="0"/>
              <w:jc w:val="center"/>
              <w:rPr>
                <w:rFonts w:ascii="宋体" w:hAnsi="宋体"/>
                <w:b/>
                <w:szCs w:val="21"/>
              </w:rPr>
            </w:pPr>
            <w:r>
              <w:rPr>
                <w:rFonts w:ascii="宋体" w:hAnsi="宋体"/>
                <w:b/>
                <w:szCs w:val="21"/>
              </w:rPr>
              <w:t>单位</w:t>
            </w:r>
          </w:p>
        </w:tc>
        <w:tc>
          <w:tcPr>
            <w:tcW w:w="1111" w:type="dxa"/>
            <w:tcBorders>
              <w:tl2br w:val="nil"/>
              <w:tr2bl w:val="nil"/>
            </w:tcBorders>
            <w:vAlign w:val="center"/>
          </w:tcPr>
          <w:p>
            <w:pPr>
              <w:pStyle w:val="109"/>
              <w:adjustRightInd w:val="0"/>
              <w:snapToGrid w:val="0"/>
              <w:jc w:val="center"/>
              <w:rPr>
                <w:rFonts w:ascii="宋体" w:hAnsi="宋体"/>
                <w:b/>
                <w:szCs w:val="21"/>
              </w:rPr>
            </w:pPr>
            <w:r>
              <w:rPr>
                <w:rFonts w:ascii="宋体" w:hAnsi="宋体"/>
                <w:b/>
                <w:szCs w:val="21"/>
              </w:rPr>
              <w:t>数量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68" w:type="dxa"/>
            <w:tcBorders>
              <w:tl2br w:val="nil"/>
              <w:tr2bl w:val="nil"/>
            </w:tcBorders>
            <w:vAlign w:val="center"/>
          </w:tcPr>
          <w:p>
            <w:pPr>
              <w:jc w:val="center"/>
              <w:rPr>
                <w:rFonts w:ascii="宋体" w:hAnsi="宋体" w:cs="宋体"/>
                <w:b/>
                <w:kern w:val="0"/>
                <w:szCs w:val="21"/>
              </w:rPr>
            </w:pPr>
            <w:r>
              <w:rPr>
                <w:rFonts w:hint="eastAsia" w:ascii="宋体" w:hAnsi="宋体" w:cs="宋体"/>
                <w:b/>
                <w:kern w:val="0"/>
                <w:szCs w:val="21"/>
              </w:rPr>
              <w:t>一</w:t>
            </w:r>
          </w:p>
        </w:tc>
        <w:tc>
          <w:tcPr>
            <w:tcW w:w="5807" w:type="dxa"/>
            <w:tcBorders>
              <w:tl2br w:val="nil"/>
              <w:tr2bl w:val="nil"/>
            </w:tcBorders>
            <w:vAlign w:val="center"/>
          </w:tcPr>
          <w:p>
            <w:pPr>
              <w:jc w:val="center"/>
              <w:rPr>
                <w:rFonts w:ascii="宋体" w:hAnsi="宋体" w:cs="宋体"/>
                <w:b/>
                <w:kern w:val="0"/>
                <w:szCs w:val="21"/>
              </w:rPr>
            </w:pPr>
            <w:r>
              <w:rPr>
                <w:rFonts w:hint="eastAsia" w:ascii="宋体" w:hAnsi="宋体" w:cs="宋体"/>
                <w:b/>
                <w:kern w:val="0"/>
                <w:szCs w:val="21"/>
              </w:rPr>
              <w:t>渠系闸门电气设备及安装工程</w:t>
            </w:r>
          </w:p>
        </w:tc>
        <w:tc>
          <w:tcPr>
            <w:tcW w:w="1328" w:type="dxa"/>
            <w:tcBorders>
              <w:tl2br w:val="nil"/>
              <w:tr2bl w:val="nil"/>
            </w:tcBorders>
            <w:vAlign w:val="center"/>
          </w:tcPr>
          <w:p>
            <w:pPr>
              <w:jc w:val="center"/>
              <w:rPr>
                <w:rFonts w:ascii="宋体" w:hAnsi="宋体" w:cs="宋体"/>
                <w:kern w:val="0"/>
                <w:szCs w:val="21"/>
              </w:rPr>
            </w:pPr>
          </w:p>
        </w:tc>
        <w:tc>
          <w:tcPr>
            <w:tcW w:w="1111" w:type="dxa"/>
            <w:tcBorders>
              <w:tl2br w:val="nil"/>
              <w:tr2bl w:val="nil"/>
            </w:tcBorders>
            <w:vAlign w:val="center"/>
          </w:tcPr>
          <w:p>
            <w:pPr>
              <w:jc w:val="center"/>
              <w:rPr>
                <w:rFonts w:ascii="宋体" w:hAnsi="宋体" w:cs="宋体"/>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68"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w:t>
            </w:r>
          </w:p>
        </w:tc>
        <w:tc>
          <w:tcPr>
            <w:tcW w:w="580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箱式变电站S13-30kVA/10kV-10/0.4kV</w:t>
            </w:r>
          </w:p>
        </w:tc>
        <w:tc>
          <w:tcPr>
            <w:tcW w:w="1328"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座</w:t>
            </w:r>
          </w:p>
        </w:tc>
        <w:tc>
          <w:tcPr>
            <w:tcW w:w="1111"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68"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2</w:t>
            </w:r>
          </w:p>
        </w:tc>
        <w:tc>
          <w:tcPr>
            <w:tcW w:w="580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10kV户外隔离开关</w:t>
            </w:r>
          </w:p>
        </w:tc>
        <w:tc>
          <w:tcPr>
            <w:tcW w:w="1328"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组</w:t>
            </w:r>
          </w:p>
        </w:tc>
        <w:tc>
          <w:tcPr>
            <w:tcW w:w="1111"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68"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3</w:t>
            </w:r>
          </w:p>
        </w:tc>
        <w:tc>
          <w:tcPr>
            <w:tcW w:w="580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10kV瓷外套氧化锌避雷器</w:t>
            </w:r>
          </w:p>
        </w:tc>
        <w:tc>
          <w:tcPr>
            <w:tcW w:w="1328"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组</w:t>
            </w:r>
          </w:p>
        </w:tc>
        <w:tc>
          <w:tcPr>
            <w:tcW w:w="1111"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68"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4</w:t>
            </w:r>
          </w:p>
        </w:tc>
        <w:tc>
          <w:tcPr>
            <w:tcW w:w="580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综合运杂费用</w:t>
            </w:r>
          </w:p>
        </w:tc>
        <w:tc>
          <w:tcPr>
            <w:tcW w:w="1328"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w:t>
            </w:r>
          </w:p>
        </w:tc>
        <w:tc>
          <w:tcPr>
            <w:tcW w:w="1111"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5.74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268" w:type="dxa"/>
            <w:tcBorders>
              <w:tl2br w:val="nil"/>
              <w:tr2bl w:val="nil"/>
            </w:tcBorders>
            <w:shd w:val="clear" w:color="000000" w:fill="FFFFFF"/>
            <w:vAlign w:val="center"/>
          </w:tcPr>
          <w:p>
            <w:pPr>
              <w:jc w:val="center"/>
              <w:rPr>
                <w:rFonts w:ascii="宋体" w:hAnsi="宋体" w:cs="宋体"/>
                <w:b/>
                <w:kern w:val="0"/>
                <w:szCs w:val="21"/>
              </w:rPr>
            </w:pPr>
            <w:r>
              <w:rPr>
                <w:rFonts w:hint="eastAsia" w:ascii="宋体" w:hAnsi="宋体" w:cs="宋体"/>
                <w:b/>
                <w:kern w:val="0"/>
                <w:szCs w:val="21"/>
              </w:rPr>
              <w:t>二</w:t>
            </w:r>
          </w:p>
        </w:tc>
        <w:tc>
          <w:tcPr>
            <w:tcW w:w="5807" w:type="dxa"/>
            <w:tcBorders>
              <w:tl2br w:val="nil"/>
              <w:tr2bl w:val="nil"/>
            </w:tcBorders>
            <w:shd w:val="clear" w:color="000000" w:fill="FFFFFF"/>
            <w:vAlign w:val="center"/>
          </w:tcPr>
          <w:p>
            <w:pPr>
              <w:jc w:val="center"/>
              <w:rPr>
                <w:rFonts w:ascii="宋体" w:hAnsi="宋体" w:cs="宋体"/>
                <w:b/>
                <w:kern w:val="0"/>
                <w:szCs w:val="21"/>
              </w:rPr>
            </w:pPr>
            <w:r>
              <w:rPr>
                <w:rFonts w:hint="eastAsia" w:ascii="宋体" w:hAnsi="宋体" w:cs="宋体"/>
                <w:b/>
                <w:kern w:val="0"/>
                <w:szCs w:val="21"/>
              </w:rPr>
              <w:t>渠系闸门视频监视设备工程</w:t>
            </w:r>
          </w:p>
        </w:tc>
        <w:tc>
          <w:tcPr>
            <w:tcW w:w="1328" w:type="dxa"/>
            <w:tcBorders>
              <w:tl2br w:val="nil"/>
              <w:tr2bl w:val="nil"/>
            </w:tcBorders>
            <w:shd w:val="clear" w:color="000000" w:fill="FFFFFF"/>
            <w:vAlign w:val="center"/>
          </w:tcPr>
          <w:p>
            <w:pPr>
              <w:jc w:val="center"/>
              <w:rPr>
                <w:rFonts w:ascii="宋体" w:hAnsi="宋体" w:cs="宋体"/>
                <w:kern w:val="0"/>
                <w:szCs w:val="21"/>
              </w:rPr>
            </w:pPr>
          </w:p>
        </w:tc>
        <w:tc>
          <w:tcPr>
            <w:tcW w:w="1111" w:type="dxa"/>
            <w:tcBorders>
              <w:tl2br w:val="nil"/>
              <w:tr2bl w:val="nil"/>
            </w:tcBorders>
            <w:shd w:val="clear" w:color="000000" w:fill="FFFFFF"/>
            <w:vAlign w:val="center"/>
          </w:tcPr>
          <w:p>
            <w:pPr>
              <w:jc w:val="center"/>
              <w:rPr>
                <w:rFonts w:ascii="宋体" w:hAnsi="宋体" w:cs="宋体"/>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268" w:type="dxa"/>
            <w:tcBorders>
              <w:tl2br w:val="nil"/>
              <w:tr2bl w:val="nil"/>
            </w:tcBorders>
            <w:shd w:val="clear" w:color="000000" w:fill="FFFFFF"/>
            <w:vAlign w:val="center"/>
          </w:tcPr>
          <w:p>
            <w:pPr>
              <w:jc w:val="center"/>
              <w:rPr>
                <w:rFonts w:ascii="宋体" w:hAnsi="宋体" w:cs="宋体"/>
                <w:b/>
                <w:kern w:val="0"/>
                <w:szCs w:val="21"/>
              </w:rPr>
            </w:pPr>
            <w:r>
              <w:rPr>
                <w:rFonts w:hint="eastAsia" w:ascii="宋体" w:hAnsi="宋体" w:cs="宋体"/>
                <w:b/>
                <w:kern w:val="0"/>
                <w:szCs w:val="21"/>
              </w:rPr>
              <w:t>1</w:t>
            </w:r>
          </w:p>
        </w:tc>
        <w:tc>
          <w:tcPr>
            <w:tcW w:w="5807" w:type="dxa"/>
            <w:tcBorders>
              <w:tl2br w:val="nil"/>
              <w:tr2bl w:val="nil"/>
            </w:tcBorders>
            <w:shd w:val="clear" w:color="000000" w:fill="FFFFFF"/>
            <w:vAlign w:val="center"/>
          </w:tcPr>
          <w:p>
            <w:pPr>
              <w:jc w:val="center"/>
              <w:rPr>
                <w:rFonts w:ascii="宋体" w:hAnsi="宋体" w:cs="宋体"/>
                <w:b/>
                <w:kern w:val="0"/>
                <w:szCs w:val="21"/>
              </w:rPr>
            </w:pPr>
            <w:r>
              <w:rPr>
                <w:rFonts w:hint="eastAsia" w:ascii="宋体" w:hAnsi="宋体" w:cs="宋体"/>
                <w:b/>
                <w:kern w:val="0"/>
                <w:szCs w:val="21"/>
              </w:rPr>
              <w:t>视频监视设备</w:t>
            </w:r>
          </w:p>
        </w:tc>
        <w:tc>
          <w:tcPr>
            <w:tcW w:w="1328" w:type="dxa"/>
            <w:tcBorders>
              <w:tl2br w:val="nil"/>
              <w:tr2bl w:val="nil"/>
            </w:tcBorders>
            <w:shd w:val="clear" w:color="000000" w:fill="FFFFFF"/>
            <w:vAlign w:val="center"/>
          </w:tcPr>
          <w:p>
            <w:pPr>
              <w:jc w:val="center"/>
              <w:rPr>
                <w:rFonts w:ascii="宋体" w:hAnsi="宋体" w:cs="宋体"/>
                <w:kern w:val="0"/>
                <w:szCs w:val="21"/>
              </w:rPr>
            </w:pPr>
          </w:p>
        </w:tc>
        <w:tc>
          <w:tcPr>
            <w:tcW w:w="1111" w:type="dxa"/>
            <w:tcBorders>
              <w:tl2br w:val="nil"/>
              <w:tr2bl w:val="nil"/>
            </w:tcBorders>
            <w:shd w:val="clear" w:color="000000" w:fill="FFFFFF"/>
            <w:vAlign w:val="center"/>
          </w:tcPr>
          <w:p>
            <w:pPr>
              <w:jc w:val="center"/>
              <w:rPr>
                <w:rFonts w:ascii="宋体" w:hAnsi="宋体" w:cs="宋体"/>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268" w:type="dxa"/>
            <w:tcBorders>
              <w:tl2br w:val="nil"/>
              <w:tr2bl w:val="nil"/>
            </w:tcBorders>
            <w:shd w:val="clear" w:color="000000" w:fill="FFFFFF"/>
            <w:vAlign w:val="center"/>
          </w:tcPr>
          <w:p>
            <w:pPr>
              <w:jc w:val="center"/>
              <w:rPr>
                <w:rFonts w:ascii="宋体" w:hAnsi="宋体" w:cs="宋体"/>
                <w:kern w:val="0"/>
                <w:szCs w:val="21"/>
              </w:rPr>
            </w:pPr>
            <w:r>
              <w:rPr>
                <w:rFonts w:hint="eastAsia" w:ascii="宋体" w:hAnsi="宋体" w:cs="宋体"/>
                <w:kern w:val="0"/>
                <w:szCs w:val="21"/>
              </w:rPr>
              <w:t>1.1</w:t>
            </w:r>
          </w:p>
        </w:tc>
        <w:tc>
          <w:tcPr>
            <w:tcW w:w="5807" w:type="dxa"/>
            <w:tcBorders>
              <w:tl2br w:val="nil"/>
              <w:tr2bl w:val="nil"/>
            </w:tcBorders>
            <w:shd w:val="clear" w:color="000000" w:fill="FFFFFF"/>
            <w:vAlign w:val="center"/>
          </w:tcPr>
          <w:p>
            <w:pPr>
              <w:jc w:val="center"/>
              <w:rPr>
                <w:rFonts w:ascii="宋体" w:hAnsi="宋体" w:cs="宋体"/>
                <w:color w:val="000000"/>
                <w:kern w:val="0"/>
                <w:szCs w:val="21"/>
              </w:rPr>
            </w:pPr>
            <w:r>
              <w:rPr>
                <w:rFonts w:hint="eastAsia" w:ascii="宋体" w:hAnsi="宋体" w:cs="宋体"/>
                <w:color w:val="000000"/>
                <w:kern w:val="0"/>
                <w:szCs w:val="21"/>
              </w:rPr>
              <w:t>室外高清网络红外枪式摄像机</w:t>
            </w:r>
          </w:p>
        </w:tc>
        <w:tc>
          <w:tcPr>
            <w:tcW w:w="1328" w:type="dxa"/>
            <w:tcBorders>
              <w:tl2br w:val="nil"/>
              <w:tr2bl w:val="nil"/>
            </w:tcBorders>
            <w:shd w:val="clear" w:color="000000" w:fill="FFFFFF"/>
            <w:vAlign w:val="center"/>
          </w:tcPr>
          <w:p>
            <w:pPr>
              <w:jc w:val="center"/>
              <w:rPr>
                <w:rFonts w:ascii="宋体" w:hAnsi="宋体" w:cs="宋体"/>
                <w:color w:val="000000"/>
                <w:kern w:val="0"/>
                <w:szCs w:val="21"/>
              </w:rPr>
            </w:pPr>
            <w:r>
              <w:rPr>
                <w:rFonts w:hint="eastAsia" w:ascii="宋体" w:hAnsi="宋体" w:cs="宋体"/>
                <w:color w:val="000000"/>
                <w:kern w:val="0"/>
                <w:szCs w:val="21"/>
              </w:rPr>
              <w:t>台</w:t>
            </w:r>
          </w:p>
        </w:tc>
        <w:tc>
          <w:tcPr>
            <w:tcW w:w="1111" w:type="dxa"/>
            <w:tcBorders>
              <w:tl2br w:val="nil"/>
              <w:tr2bl w:val="nil"/>
            </w:tcBorders>
            <w:shd w:val="clear" w:color="000000" w:fill="FFFFFF"/>
            <w:vAlign w:val="center"/>
          </w:tcPr>
          <w:p>
            <w:pPr>
              <w:jc w:val="center"/>
              <w:rPr>
                <w:rFonts w:ascii="宋体" w:hAnsi="宋体" w:cs="宋体"/>
                <w:kern w:val="0"/>
                <w:szCs w:val="21"/>
              </w:rPr>
            </w:pPr>
            <w:r>
              <w:rPr>
                <w:rFonts w:hint="eastAsia" w:ascii="宋体" w:hAnsi="宋体" w:cs="宋体"/>
                <w:kern w:val="0"/>
                <w:szCs w:val="21"/>
              </w:rPr>
              <w:t>11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268" w:type="dxa"/>
            <w:tcBorders>
              <w:tl2br w:val="nil"/>
              <w:tr2bl w:val="nil"/>
            </w:tcBorders>
            <w:shd w:val="clear" w:color="000000" w:fill="FFFFFF"/>
            <w:vAlign w:val="center"/>
          </w:tcPr>
          <w:p>
            <w:pPr>
              <w:jc w:val="center"/>
              <w:rPr>
                <w:rFonts w:ascii="宋体" w:hAnsi="宋体" w:cs="宋体"/>
                <w:kern w:val="0"/>
                <w:szCs w:val="21"/>
              </w:rPr>
            </w:pPr>
            <w:r>
              <w:rPr>
                <w:rFonts w:hint="eastAsia" w:ascii="宋体" w:hAnsi="宋体" w:cs="宋体"/>
                <w:kern w:val="0"/>
                <w:szCs w:val="21"/>
              </w:rPr>
              <w:t>1.2</w:t>
            </w:r>
          </w:p>
        </w:tc>
        <w:tc>
          <w:tcPr>
            <w:tcW w:w="5807" w:type="dxa"/>
            <w:tcBorders>
              <w:tl2br w:val="nil"/>
              <w:tr2bl w:val="nil"/>
            </w:tcBorders>
            <w:shd w:val="clear" w:color="000000" w:fill="FFFFFF"/>
            <w:vAlign w:val="center"/>
          </w:tcPr>
          <w:p>
            <w:pPr>
              <w:jc w:val="center"/>
              <w:rPr>
                <w:rFonts w:ascii="宋体" w:hAnsi="宋体" w:cs="宋体"/>
                <w:color w:val="000000"/>
                <w:kern w:val="0"/>
                <w:szCs w:val="21"/>
              </w:rPr>
            </w:pPr>
            <w:r>
              <w:rPr>
                <w:rFonts w:hint="eastAsia" w:ascii="宋体" w:hAnsi="宋体" w:cs="宋体"/>
                <w:color w:val="000000"/>
                <w:kern w:val="0"/>
                <w:szCs w:val="21"/>
              </w:rPr>
              <w:t>终端配电箱（200*300*400，不锈钢材质，防水防雾，含配电箱加热器，防止箱内雾化潮湿）</w:t>
            </w:r>
          </w:p>
        </w:tc>
        <w:tc>
          <w:tcPr>
            <w:tcW w:w="1328" w:type="dxa"/>
            <w:tcBorders>
              <w:tl2br w:val="nil"/>
              <w:tr2bl w:val="nil"/>
            </w:tcBorders>
            <w:shd w:val="clear" w:color="000000" w:fill="FFFFFF"/>
            <w:vAlign w:val="center"/>
          </w:tcPr>
          <w:p>
            <w:pPr>
              <w:jc w:val="center"/>
              <w:rPr>
                <w:rFonts w:ascii="宋体" w:hAnsi="宋体" w:cs="宋体"/>
                <w:color w:val="000000"/>
                <w:kern w:val="0"/>
                <w:szCs w:val="21"/>
              </w:rPr>
            </w:pPr>
            <w:r>
              <w:rPr>
                <w:rFonts w:hint="eastAsia" w:ascii="宋体" w:hAnsi="宋体" w:cs="宋体"/>
                <w:color w:val="000000"/>
                <w:kern w:val="0"/>
                <w:szCs w:val="21"/>
              </w:rPr>
              <w:t>台</w:t>
            </w:r>
          </w:p>
        </w:tc>
        <w:tc>
          <w:tcPr>
            <w:tcW w:w="1111" w:type="dxa"/>
            <w:tcBorders>
              <w:tl2br w:val="nil"/>
              <w:tr2bl w:val="nil"/>
            </w:tcBorders>
            <w:shd w:val="clear" w:color="000000" w:fill="FFFFFF"/>
            <w:vAlign w:val="center"/>
          </w:tcPr>
          <w:p>
            <w:pPr>
              <w:jc w:val="center"/>
              <w:rPr>
                <w:rFonts w:ascii="宋体" w:hAnsi="宋体" w:cs="宋体"/>
                <w:kern w:val="0"/>
                <w:szCs w:val="21"/>
              </w:rPr>
            </w:pPr>
            <w:r>
              <w:rPr>
                <w:rFonts w:hint="eastAsia" w:ascii="宋体" w:hAnsi="宋体" w:cs="宋体"/>
                <w:kern w:val="0"/>
                <w:szCs w:val="21"/>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268" w:type="dxa"/>
            <w:tcBorders>
              <w:tl2br w:val="nil"/>
              <w:tr2bl w:val="nil"/>
            </w:tcBorders>
            <w:shd w:val="clear" w:color="000000" w:fill="FFFFFF"/>
            <w:vAlign w:val="center"/>
          </w:tcPr>
          <w:p>
            <w:pPr>
              <w:jc w:val="center"/>
              <w:rPr>
                <w:rFonts w:ascii="宋体" w:hAnsi="宋体" w:cs="宋体"/>
                <w:kern w:val="0"/>
                <w:szCs w:val="21"/>
              </w:rPr>
            </w:pPr>
            <w:r>
              <w:rPr>
                <w:rFonts w:hint="eastAsia" w:ascii="宋体" w:hAnsi="宋体" w:cs="宋体"/>
                <w:kern w:val="0"/>
                <w:szCs w:val="21"/>
              </w:rPr>
              <w:t>1.3</w:t>
            </w:r>
          </w:p>
        </w:tc>
        <w:tc>
          <w:tcPr>
            <w:tcW w:w="5807" w:type="dxa"/>
            <w:tcBorders>
              <w:tl2br w:val="nil"/>
              <w:tr2bl w:val="nil"/>
            </w:tcBorders>
            <w:shd w:val="clear" w:color="000000" w:fill="FFFFFF"/>
            <w:vAlign w:val="center"/>
          </w:tcPr>
          <w:p>
            <w:pPr>
              <w:jc w:val="center"/>
              <w:rPr>
                <w:rFonts w:ascii="宋体" w:hAnsi="宋体" w:cs="宋体"/>
                <w:color w:val="000000"/>
                <w:kern w:val="0"/>
                <w:szCs w:val="21"/>
              </w:rPr>
            </w:pPr>
            <w:r>
              <w:rPr>
                <w:rFonts w:hint="eastAsia" w:ascii="宋体" w:hAnsi="宋体" w:cs="宋体"/>
                <w:color w:val="000000"/>
                <w:kern w:val="0"/>
                <w:szCs w:val="21"/>
              </w:rPr>
              <w:t>光纤收发器（10/100M，全/半双工自适应、光纤模式：单模/多模自适应）</w:t>
            </w:r>
          </w:p>
        </w:tc>
        <w:tc>
          <w:tcPr>
            <w:tcW w:w="1328" w:type="dxa"/>
            <w:tcBorders>
              <w:tl2br w:val="nil"/>
              <w:tr2bl w:val="nil"/>
            </w:tcBorders>
            <w:shd w:val="clear" w:color="000000" w:fill="FFFFFF"/>
            <w:vAlign w:val="center"/>
          </w:tcPr>
          <w:p>
            <w:pPr>
              <w:jc w:val="center"/>
              <w:rPr>
                <w:rFonts w:ascii="宋体" w:hAnsi="宋体" w:cs="宋体"/>
                <w:color w:val="000000"/>
                <w:kern w:val="0"/>
                <w:szCs w:val="21"/>
              </w:rPr>
            </w:pPr>
            <w:r>
              <w:rPr>
                <w:rFonts w:hint="eastAsia" w:ascii="宋体" w:hAnsi="宋体" w:cs="宋体"/>
                <w:color w:val="000000"/>
                <w:kern w:val="0"/>
                <w:szCs w:val="21"/>
              </w:rPr>
              <w:t>对</w:t>
            </w:r>
          </w:p>
        </w:tc>
        <w:tc>
          <w:tcPr>
            <w:tcW w:w="1111" w:type="dxa"/>
            <w:tcBorders>
              <w:tl2br w:val="nil"/>
              <w:tr2bl w:val="nil"/>
            </w:tcBorders>
            <w:shd w:val="clear" w:color="000000" w:fill="FFFFFF"/>
            <w:vAlign w:val="center"/>
          </w:tcPr>
          <w:p>
            <w:pPr>
              <w:jc w:val="center"/>
              <w:rPr>
                <w:rFonts w:ascii="宋体" w:hAnsi="宋体" w:cs="宋体"/>
                <w:kern w:val="0"/>
                <w:szCs w:val="21"/>
              </w:rPr>
            </w:pPr>
            <w:r>
              <w:rPr>
                <w:rFonts w:hint="eastAsia" w:ascii="宋体" w:hAnsi="宋体" w:cs="宋体"/>
                <w:kern w:val="0"/>
                <w:szCs w:val="21"/>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268" w:type="dxa"/>
            <w:tcBorders>
              <w:tl2br w:val="nil"/>
              <w:tr2bl w:val="nil"/>
            </w:tcBorders>
            <w:shd w:val="clear" w:color="000000" w:fill="FFFFFF"/>
            <w:vAlign w:val="center"/>
          </w:tcPr>
          <w:p>
            <w:pPr>
              <w:jc w:val="center"/>
              <w:rPr>
                <w:rFonts w:ascii="宋体" w:hAnsi="宋体" w:cs="宋体"/>
                <w:kern w:val="0"/>
                <w:szCs w:val="21"/>
              </w:rPr>
            </w:pPr>
            <w:r>
              <w:rPr>
                <w:rFonts w:hint="eastAsia" w:ascii="宋体" w:hAnsi="宋体" w:cs="宋体"/>
                <w:kern w:val="0"/>
                <w:szCs w:val="21"/>
              </w:rPr>
              <w:t>1.4</w:t>
            </w:r>
          </w:p>
        </w:tc>
        <w:tc>
          <w:tcPr>
            <w:tcW w:w="5807" w:type="dxa"/>
            <w:tcBorders>
              <w:tl2br w:val="nil"/>
              <w:tr2bl w:val="nil"/>
            </w:tcBorders>
            <w:shd w:val="clear" w:color="000000" w:fill="FFFFFF"/>
            <w:vAlign w:val="center"/>
          </w:tcPr>
          <w:p>
            <w:pPr>
              <w:jc w:val="center"/>
              <w:rPr>
                <w:rFonts w:ascii="宋体" w:hAnsi="宋体" w:cs="宋体"/>
                <w:color w:val="000000"/>
                <w:kern w:val="0"/>
                <w:szCs w:val="21"/>
              </w:rPr>
            </w:pPr>
            <w:r>
              <w:rPr>
                <w:rFonts w:hint="eastAsia" w:ascii="宋体" w:hAnsi="宋体" w:cs="宋体"/>
                <w:color w:val="000000"/>
                <w:kern w:val="0"/>
                <w:szCs w:val="21"/>
              </w:rPr>
              <w:t>屏蔽网络线</w:t>
            </w:r>
          </w:p>
        </w:tc>
        <w:tc>
          <w:tcPr>
            <w:tcW w:w="1328" w:type="dxa"/>
            <w:tcBorders>
              <w:tl2br w:val="nil"/>
              <w:tr2bl w:val="nil"/>
            </w:tcBorders>
            <w:shd w:val="clear" w:color="000000" w:fill="FFFFFF"/>
            <w:vAlign w:val="center"/>
          </w:tcPr>
          <w:p>
            <w:pPr>
              <w:jc w:val="center"/>
              <w:rPr>
                <w:rFonts w:ascii="宋体" w:hAnsi="宋体" w:cs="宋体"/>
                <w:color w:val="000000"/>
                <w:kern w:val="0"/>
                <w:szCs w:val="21"/>
              </w:rPr>
            </w:pPr>
            <w:r>
              <w:rPr>
                <w:rFonts w:hint="eastAsia" w:ascii="宋体" w:hAnsi="宋体" w:cs="宋体"/>
                <w:color w:val="000000"/>
                <w:kern w:val="0"/>
                <w:szCs w:val="21"/>
              </w:rPr>
              <w:t>km</w:t>
            </w:r>
          </w:p>
        </w:tc>
        <w:tc>
          <w:tcPr>
            <w:tcW w:w="1111" w:type="dxa"/>
            <w:tcBorders>
              <w:tl2br w:val="nil"/>
              <w:tr2bl w:val="nil"/>
            </w:tcBorders>
            <w:shd w:val="clear" w:color="000000" w:fill="FFFFFF"/>
            <w:vAlign w:val="center"/>
          </w:tcPr>
          <w:p>
            <w:pPr>
              <w:jc w:val="center"/>
              <w:rPr>
                <w:rFonts w:ascii="宋体" w:hAnsi="宋体" w:cs="宋体"/>
                <w:kern w:val="0"/>
                <w:szCs w:val="21"/>
              </w:rPr>
            </w:pPr>
            <w:r>
              <w:rPr>
                <w:rFonts w:hint="eastAsia" w:ascii="宋体" w:hAnsi="宋体" w:cs="宋体"/>
                <w:kern w:val="0"/>
                <w:szCs w:val="21"/>
              </w:rPr>
              <w:t>1.65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268" w:type="dxa"/>
            <w:tcBorders>
              <w:tl2br w:val="nil"/>
              <w:tr2bl w:val="nil"/>
            </w:tcBorders>
            <w:shd w:val="clear" w:color="000000" w:fill="FFFFFF"/>
            <w:vAlign w:val="center"/>
          </w:tcPr>
          <w:p>
            <w:pPr>
              <w:jc w:val="center"/>
              <w:rPr>
                <w:rFonts w:ascii="宋体" w:hAnsi="宋体" w:cs="宋体"/>
                <w:kern w:val="0"/>
                <w:szCs w:val="21"/>
              </w:rPr>
            </w:pPr>
            <w:r>
              <w:rPr>
                <w:rFonts w:hint="eastAsia" w:ascii="宋体" w:hAnsi="宋体" w:cs="宋体"/>
                <w:kern w:val="0"/>
                <w:szCs w:val="21"/>
              </w:rPr>
              <w:t>1.5</w:t>
            </w:r>
          </w:p>
        </w:tc>
        <w:tc>
          <w:tcPr>
            <w:tcW w:w="5807" w:type="dxa"/>
            <w:tcBorders>
              <w:tl2br w:val="nil"/>
              <w:tr2bl w:val="nil"/>
            </w:tcBorders>
            <w:shd w:val="clear" w:color="000000" w:fill="FFFFFF"/>
            <w:vAlign w:val="center"/>
          </w:tcPr>
          <w:p>
            <w:pPr>
              <w:jc w:val="center"/>
              <w:rPr>
                <w:rFonts w:ascii="宋体" w:hAnsi="宋体"/>
                <w:color w:val="000000"/>
                <w:kern w:val="0"/>
                <w:szCs w:val="21"/>
              </w:rPr>
            </w:pPr>
            <w:r>
              <w:rPr>
                <w:rFonts w:ascii="宋体" w:hAnsi="宋体"/>
                <w:color w:val="000000"/>
                <w:kern w:val="0"/>
                <w:szCs w:val="21"/>
              </w:rPr>
              <w:t>4</w:t>
            </w:r>
            <w:r>
              <w:rPr>
                <w:rFonts w:hint="eastAsia" w:ascii="宋体" w:hAnsi="宋体"/>
                <w:color w:val="000000"/>
                <w:kern w:val="0"/>
                <w:szCs w:val="21"/>
              </w:rPr>
              <w:t>芯单模光缆</w:t>
            </w:r>
          </w:p>
        </w:tc>
        <w:tc>
          <w:tcPr>
            <w:tcW w:w="1328" w:type="dxa"/>
            <w:tcBorders>
              <w:tl2br w:val="nil"/>
              <w:tr2bl w:val="nil"/>
            </w:tcBorders>
            <w:shd w:val="clear" w:color="000000" w:fill="FFFFFF"/>
            <w:vAlign w:val="center"/>
          </w:tcPr>
          <w:p>
            <w:pPr>
              <w:jc w:val="center"/>
              <w:rPr>
                <w:rFonts w:ascii="宋体" w:hAnsi="宋体" w:cs="宋体"/>
                <w:color w:val="000000"/>
                <w:kern w:val="0"/>
                <w:szCs w:val="21"/>
              </w:rPr>
            </w:pPr>
            <w:r>
              <w:rPr>
                <w:rFonts w:hint="eastAsia" w:ascii="宋体" w:hAnsi="宋体" w:cs="宋体"/>
                <w:color w:val="000000"/>
                <w:kern w:val="0"/>
                <w:szCs w:val="21"/>
              </w:rPr>
              <w:t>km</w:t>
            </w:r>
          </w:p>
        </w:tc>
        <w:tc>
          <w:tcPr>
            <w:tcW w:w="1111" w:type="dxa"/>
            <w:tcBorders>
              <w:tl2br w:val="nil"/>
              <w:tr2bl w:val="nil"/>
            </w:tcBorders>
            <w:shd w:val="clear" w:color="000000" w:fill="FFFFFF"/>
            <w:vAlign w:val="center"/>
          </w:tcPr>
          <w:p>
            <w:pPr>
              <w:jc w:val="center"/>
              <w:rPr>
                <w:rFonts w:ascii="宋体" w:hAnsi="宋体" w:cs="宋体"/>
                <w:kern w:val="0"/>
                <w:szCs w:val="21"/>
              </w:rPr>
            </w:pPr>
            <w:r>
              <w:rPr>
                <w:rFonts w:hint="eastAsia" w:ascii="宋体" w:hAnsi="宋体" w:cs="宋体"/>
                <w:kern w:val="0"/>
                <w:szCs w:val="21"/>
              </w:rPr>
              <w:t>1.65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268" w:type="dxa"/>
            <w:tcBorders>
              <w:tl2br w:val="nil"/>
              <w:tr2bl w:val="nil"/>
            </w:tcBorders>
            <w:shd w:val="clear" w:color="000000" w:fill="FFFFFF"/>
            <w:vAlign w:val="center"/>
          </w:tcPr>
          <w:p>
            <w:pPr>
              <w:jc w:val="center"/>
              <w:rPr>
                <w:rFonts w:ascii="宋体" w:hAnsi="宋体" w:cs="宋体"/>
                <w:kern w:val="0"/>
                <w:szCs w:val="21"/>
              </w:rPr>
            </w:pPr>
            <w:r>
              <w:rPr>
                <w:rFonts w:hint="eastAsia" w:ascii="宋体" w:hAnsi="宋体" w:cs="宋体"/>
                <w:kern w:val="0"/>
                <w:szCs w:val="21"/>
              </w:rPr>
              <w:t>1.6</w:t>
            </w:r>
          </w:p>
        </w:tc>
        <w:tc>
          <w:tcPr>
            <w:tcW w:w="5807" w:type="dxa"/>
            <w:tcBorders>
              <w:tl2br w:val="nil"/>
              <w:tr2bl w:val="nil"/>
            </w:tcBorders>
            <w:shd w:val="clear" w:color="000000" w:fill="FFFFFF"/>
            <w:vAlign w:val="center"/>
          </w:tcPr>
          <w:p>
            <w:pPr>
              <w:jc w:val="center"/>
              <w:rPr>
                <w:rFonts w:ascii="宋体" w:hAnsi="宋体" w:cs="宋体"/>
                <w:color w:val="000000"/>
                <w:kern w:val="0"/>
                <w:szCs w:val="21"/>
              </w:rPr>
            </w:pPr>
            <w:r>
              <w:rPr>
                <w:rFonts w:hint="eastAsia" w:ascii="宋体" w:hAnsi="宋体" w:cs="宋体"/>
                <w:color w:val="000000"/>
                <w:kern w:val="0"/>
                <w:szCs w:val="21"/>
              </w:rPr>
              <w:t>阻燃电源电缆</w:t>
            </w:r>
          </w:p>
        </w:tc>
        <w:tc>
          <w:tcPr>
            <w:tcW w:w="1328" w:type="dxa"/>
            <w:tcBorders>
              <w:tl2br w:val="nil"/>
              <w:tr2bl w:val="nil"/>
            </w:tcBorders>
            <w:shd w:val="clear" w:color="000000" w:fill="FFFFFF"/>
            <w:vAlign w:val="center"/>
          </w:tcPr>
          <w:p>
            <w:pPr>
              <w:jc w:val="center"/>
              <w:rPr>
                <w:rFonts w:ascii="宋体" w:hAnsi="宋体" w:cs="宋体"/>
                <w:color w:val="000000"/>
                <w:kern w:val="0"/>
                <w:szCs w:val="21"/>
              </w:rPr>
            </w:pPr>
            <w:r>
              <w:rPr>
                <w:rFonts w:hint="eastAsia" w:ascii="宋体" w:hAnsi="宋体" w:cs="宋体"/>
                <w:color w:val="000000"/>
                <w:kern w:val="0"/>
                <w:szCs w:val="21"/>
              </w:rPr>
              <w:t>km</w:t>
            </w:r>
          </w:p>
        </w:tc>
        <w:tc>
          <w:tcPr>
            <w:tcW w:w="1111" w:type="dxa"/>
            <w:tcBorders>
              <w:tl2br w:val="nil"/>
              <w:tr2bl w:val="nil"/>
            </w:tcBorders>
            <w:shd w:val="clear" w:color="000000" w:fill="FFFFFF"/>
            <w:vAlign w:val="center"/>
          </w:tcPr>
          <w:p>
            <w:pPr>
              <w:jc w:val="center"/>
              <w:rPr>
                <w:rFonts w:ascii="宋体" w:hAnsi="宋体" w:cs="宋体"/>
                <w:kern w:val="0"/>
                <w:szCs w:val="21"/>
              </w:rPr>
            </w:pPr>
            <w:r>
              <w:rPr>
                <w:rFonts w:hint="eastAsia" w:ascii="宋体" w:hAnsi="宋体" w:cs="宋体"/>
                <w:kern w:val="0"/>
                <w:szCs w:val="21"/>
              </w:rPr>
              <w:t>1.65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268" w:type="dxa"/>
            <w:tcBorders>
              <w:tl2br w:val="nil"/>
              <w:tr2bl w:val="nil"/>
            </w:tcBorders>
            <w:shd w:val="clear" w:color="000000" w:fill="FFFFFF"/>
            <w:vAlign w:val="center"/>
          </w:tcPr>
          <w:p>
            <w:pPr>
              <w:jc w:val="center"/>
              <w:rPr>
                <w:rFonts w:ascii="宋体" w:hAnsi="宋体" w:cs="宋体"/>
                <w:kern w:val="0"/>
                <w:szCs w:val="21"/>
              </w:rPr>
            </w:pPr>
            <w:r>
              <w:rPr>
                <w:rFonts w:hint="eastAsia" w:ascii="宋体" w:hAnsi="宋体" w:cs="宋体"/>
                <w:kern w:val="0"/>
                <w:szCs w:val="21"/>
              </w:rPr>
              <w:t>1.7</w:t>
            </w:r>
          </w:p>
        </w:tc>
        <w:tc>
          <w:tcPr>
            <w:tcW w:w="5807" w:type="dxa"/>
            <w:tcBorders>
              <w:tl2br w:val="nil"/>
              <w:tr2bl w:val="nil"/>
            </w:tcBorders>
            <w:shd w:val="clear" w:color="000000" w:fill="FFFFFF"/>
            <w:vAlign w:val="center"/>
          </w:tcPr>
          <w:p>
            <w:pPr>
              <w:jc w:val="center"/>
              <w:rPr>
                <w:rFonts w:ascii="宋体" w:hAnsi="宋体" w:cs="宋体"/>
                <w:color w:val="000000"/>
                <w:kern w:val="0"/>
                <w:szCs w:val="21"/>
              </w:rPr>
            </w:pPr>
            <w:r>
              <w:rPr>
                <w:rFonts w:hint="eastAsia" w:ascii="宋体" w:hAnsi="宋体" w:cs="宋体"/>
                <w:color w:val="000000"/>
                <w:kern w:val="0"/>
                <w:szCs w:val="21"/>
              </w:rPr>
              <w:t>其他安装辅材</w:t>
            </w:r>
          </w:p>
        </w:tc>
        <w:tc>
          <w:tcPr>
            <w:tcW w:w="1328" w:type="dxa"/>
            <w:tcBorders>
              <w:tl2br w:val="nil"/>
              <w:tr2bl w:val="nil"/>
            </w:tcBorders>
            <w:shd w:val="clear" w:color="000000" w:fill="FFFFFF"/>
            <w:vAlign w:val="center"/>
          </w:tcPr>
          <w:p>
            <w:pPr>
              <w:jc w:val="center"/>
              <w:rPr>
                <w:rFonts w:ascii="宋体" w:hAnsi="宋体" w:cs="宋体"/>
                <w:color w:val="000000"/>
                <w:kern w:val="0"/>
                <w:szCs w:val="21"/>
              </w:rPr>
            </w:pPr>
            <w:r>
              <w:rPr>
                <w:rFonts w:hint="eastAsia" w:ascii="宋体" w:hAnsi="宋体" w:cs="宋体"/>
                <w:color w:val="000000"/>
                <w:kern w:val="0"/>
                <w:szCs w:val="21"/>
              </w:rPr>
              <w:t>项</w:t>
            </w:r>
          </w:p>
        </w:tc>
        <w:tc>
          <w:tcPr>
            <w:tcW w:w="1111" w:type="dxa"/>
            <w:tcBorders>
              <w:tl2br w:val="nil"/>
              <w:tr2bl w:val="nil"/>
            </w:tcBorders>
            <w:shd w:val="clear" w:color="000000" w:fill="FFFFFF"/>
            <w:vAlign w:val="center"/>
          </w:tcPr>
          <w:p>
            <w:pPr>
              <w:jc w:val="center"/>
              <w:rPr>
                <w:rFonts w:ascii="宋体" w:hAnsi="宋体" w:cs="宋体"/>
                <w:kern w:val="0"/>
                <w:szCs w:val="21"/>
              </w:rPr>
            </w:pPr>
            <w:r>
              <w:rPr>
                <w:rFonts w:hint="eastAsia" w:ascii="宋体" w:hAnsi="宋体" w:cs="宋体"/>
                <w:kern w:val="0"/>
                <w:szCs w:val="21"/>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268" w:type="dxa"/>
            <w:tcBorders>
              <w:tl2br w:val="nil"/>
              <w:tr2bl w:val="nil"/>
            </w:tcBorders>
            <w:shd w:val="clear" w:color="000000" w:fill="FFFFFF"/>
            <w:vAlign w:val="center"/>
          </w:tcPr>
          <w:p>
            <w:pPr>
              <w:jc w:val="center"/>
              <w:rPr>
                <w:rFonts w:ascii="宋体" w:hAnsi="宋体" w:cs="宋体"/>
                <w:kern w:val="0"/>
                <w:szCs w:val="21"/>
              </w:rPr>
            </w:pPr>
            <w:r>
              <w:rPr>
                <w:rFonts w:hint="eastAsia" w:ascii="宋体" w:hAnsi="宋体" w:cs="宋体"/>
                <w:kern w:val="0"/>
                <w:szCs w:val="21"/>
              </w:rPr>
              <w:t>1.8</w:t>
            </w:r>
          </w:p>
        </w:tc>
        <w:tc>
          <w:tcPr>
            <w:tcW w:w="5807" w:type="dxa"/>
            <w:tcBorders>
              <w:tl2br w:val="nil"/>
              <w:tr2bl w:val="nil"/>
            </w:tcBorders>
            <w:shd w:val="clear" w:color="000000" w:fill="FFFFFF"/>
            <w:vAlign w:val="center"/>
          </w:tcPr>
          <w:p>
            <w:pPr>
              <w:jc w:val="center"/>
              <w:rPr>
                <w:rFonts w:ascii="宋体" w:hAnsi="宋体" w:cs="宋体"/>
                <w:color w:val="000000"/>
                <w:kern w:val="0"/>
                <w:szCs w:val="21"/>
              </w:rPr>
            </w:pPr>
            <w:r>
              <w:rPr>
                <w:rFonts w:hint="eastAsia" w:ascii="宋体" w:hAnsi="宋体" w:cs="宋体"/>
                <w:color w:val="000000"/>
                <w:kern w:val="0"/>
                <w:szCs w:val="21"/>
              </w:rPr>
              <w:t>视频电源</w:t>
            </w:r>
          </w:p>
        </w:tc>
        <w:tc>
          <w:tcPr>
            <w:tcW w:w="1328" w:type="dxa"/>
            <w:tcBorders>
              <w:tl2br w:val="nil"/>
              <w:tr2bl w:val="nil"/>
            </w:tcBorders>
            <w:shd w:val="clear" w:color="000000" w:fill="FFFFFF"/>
            <w:vAlign w:val="center"/>
          </w:tcPr>
          <w:p>
            <w:pPr>
              <w:jc w:val="center"/>
              <w:rPr>
                <w:rFonts w:ascii="宋体" w:hAnsi="宋体" w:cs="宋体"/>
                <w:color w:val="000000"/>
                <w:kern w:val="0"/>
                <w:szCs w:val="21"/>
              </w:rPr>
            </w:pPr>
            <w:r>
              <w:rPr>
                <w:rFonts w:hint="eastAsia" w:ascii="宋体" w:hAnsi="宋体" w:cs="宋体"/>
                <w:color w:val="000000"/>
                <w:kern w:val="0"/>
                <w:szCs w:val="21"/>
              </w:rPr>
              <w:t>套</w:t>
            </w:r>
          </w:p>
        </w:tc>
        <w:tc>
          <w:tcPr>
            <w:tcW w:w="1111" w:type="dxa"/>
            <w:tcBorders>
              <w:tl2br w:val="nil"/>
              <w:tr2bl w:val="nil"/>
            </w:tcBorders>
            <w:shd w:val="clear" w:color="000000" w:fill="FFFFFF"/>
            <w:vAlign w:val="center"/>
          </w:tcPr>
          <w:p>
            <w:pPr>
              <w:jc w:val="center"/>
              <w:rPr>
                <w:rFonts w:ascii="宋体" w:hAnsi="宋体" w:cs="宋体"/>
                <w:kern w:val="0"/>
                <w:szCs w:val="21"/>
              </w:rPr>
            </w:pPr>
            <w:r>
              <w:rPr>
                <w:rFonts w:hint="eastAsia" w:ascii="宋体" w:hAnsi="宋体" w:cs="宋体"/>
                <w:kern w:val="0"/>
                <w:szCs w:val="21"/>
              </w:rPr>
              <w:t>11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268" w:type="dxa"/>
            <w:tcBorders>
              <w:tl2br w:val="nil"/>
              <w:tr2bl w:val="nil"/>
            </w:tcBorders>
            <w:shd w:val="clear" w:color="000000" w:fill="FFFFFF"/>
            <w:vAlign w:val="center"/>
          </w:tcPr>
          <w:p>
            <w:pPr>
              <w:jc w:val="center"/>
              <w:rPr>
                <w:rFonts w:ascii="宋体" w:hAnsi="宋体" w:cs="宋体"/>
                <w:kern w:val="0"/>
                <w:szCs w:val="21"/>
              </w:rPr>
            </w:pPr>
            <w:r>
              <w:rPr>
                <w:rFonts w:hint="eastAsia" w:ascii="宋体" w:hAnsi="宋体" w:cs="宋体"/>
                <w:kern w:val="0"/>
                <w:szCs w:val="21"/>
              </w:rPr>
              <w:t>1.9</w:t>
            </w:r>
          </w:p>
        </w:tc>
        <w:tc>
          <w:tcPr>
            <w:tcW w:w="5807" w:type="dxa"/>
            <w:tcBorders>
              <w:tl2br w:val="nil"/>
              <w:tr2bl w:val="nil"/>
            </w:tcBorders>
            <w:shd w:val="clear" w:color="000000" w:fill="FFFFFF"/>
            <w:vAlign w:val="center"/>
          </w:tcPr>
          <w:p>
            <w:pPr>
              <w:jc w:val="center"/>
              <w:rPr>
                <w:rFonts w:ascii="宋体" w:hAnsi="宋体" w:cs="宋体"/>
                <w:color w:val="000000"/>
                <w:kern w:val="0"/>
                <w:szCs w:val="21"/>
              </w:rPr>
            </w:pPr>
            <w:r>
              <w:rPr>
                <w:rFonts w:hint="eastAsia" w:ascii="宋体" w:hAnsi="宋体" w:cs="宋体"/>
                <w:color w:val="000000"/>
                <w:kern w:val="0"/>
                <w:szCs w:val="21"/>
              </w:rPr>
              <w:t>4m专用立杆</w:t>
            </w:r>
          </w:p>
        </w:tc>
        <w:tc>
          <w:tcPr>
            <w:tcW w:w="1328" w:type="dxa"/>
            <w:tcBorders>
              <w:tl2br w:val="nil"/>
              <w:tr2bl w:val="nil"/>
            </w:tcBorders>
            <w:shd w:val="clear" w:color="000000" w:fill="FFFFFF"/>
            <w:vAlign w:val="center"/>
          </w:tcPr>
          <w:p>
            <w:pPr>
              <w:jc w:val="center"/>
              <w:rPr>
                <w:rFonts w:ascii="宋体" w:hAnsi="宋体" w:cs="宋体"/>
                <w:color w:val="000000"/>
                <w:kern w:val="0"/>
                <w:szCs w:val="21"/>
              </w:rPr>
            </w:pPr>
            <w:r>
              <w:rPr>
                <w:rFonts w:hint="eastAsia" w:ascii="宋体" w:hAnsi="宋体" w:cs="宋体"/>
                <w:color w:val="000000"/>
                <w:kern w:val="0"/>
                <w:szCs w:val="21"/>
              </w:rPr>
              <w:t>套</w:t>
            </w:r>
          </w:p>
        </w:tc>
        <w:tc>
          <w:tcPr>
            <w:tcW w:w="1111" w:type="dxa"/>
            <w:tcBorders>
              <w:tl2br w:val="nil"/>
              <w:tr2bl w:val="nil"/>
            </w:tcBorders>
            <w:shd w:val="clear" w:color="000000" w:fill="FFFFFF"/>
            <w:vAlign w:val="center"/>
          </w:tcPr>
          <w:p>
            <w:pPr>
              <w:jc w:val="center"/>
              <w:rPr>
                <w:rFonts w:ascii="宋体" w:hAnsi="宋体" w:cs="宋体"/>
                <w:kern w:val="0"/>
                <w:szCs w:val="21"/>
              </w:rPr>
            </w:pPr>
            <w:r>
              <w:rPr>
                <w:rFonts w:hint="eastAsia" w:ascii="宋体" w:hAnsi="宋体" w:cs="宋体"/>
                <w:kern w:val="0"/>
                <w:szCs w:val="21"/>
              </w:rPr>
              <w:t>11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268" w:type="dxa"/>
            <w:tcBorders>
              <w:tl2br w:val="nil"/>
              <w:tr2bl w:val="nil"/>
            </w:tcBorders>
            <w:shd w:val="clear" w:color="000000" w:fill="FFFFFF"/>
            <w:vAlign w:val="center"/>
          </w:tcPr>
          <w:p>
            <w:pPr>
              <w:jc w:val="center"/>
              <w:rPr>
                <w:rFonts w:ascii="宋体" w:hAnsi="宋体" w:cs="宋体"/>
                <w:kern w:val="0"/>
                <w:szCs w:val="21"/>
              </w:rPr>
            </w:pPr>
            <w:r>
              <w:rPr>
                <w:rFonts w:hint="eastAsia" w:ascii="宋体" w:hAnsi="宋体" w:cs="宋体"/>
                <w:kern w:val="0"/>
                <w:szCs w:val="21"/>
              </w:rPr>
              <w:t>1.10</w:t>
            </w:r>
          </w:p>
        </w:tc>
        <w:tc>
          <w:tcPr>
            <w:tcW w:w="5807" w:type="dxa"/>
            <w:tcBorders>
              <w:tl2br w:val="nil"/>
              <w:tr2bl w:val="nil"/>
            </w:tcBorders>
            <w:shd w:val="clear" w:color="000000" w:fill="FFFFFF"/>
            <w:vAlign w:val="center"/>
          </w:tcPr>
          <w:p>
            <w:pPr>
              <w:jc w:val="center"/>
              <w:rPr>
                <w:rFonts w:ascii="宋体" w:hAnsi="宋体" w:cs="宋体"/>
                <w:kern w:val="0"/>
                <w:szCs w:val="21"/>
              </w:rPr>
            </w:pPr>
            <w:r>
              <w:rPr>
                <w:rFonts w:hint="eastAsia" w:ascii="宋体" w:hAnsi="宋体" w:cs="宋体"/>
                <w:kern w:val="0"/>
                <w:szCs w:val="21"/>
              </w:rPr>
              <w:t>综合运杂费用</w:t>
            </w:r>
          </w:p>
        </w:tc>
        <w:tc>
          <w:tcPr>
            <w:tcW w:w="1328" w:type="dxa"/>
            <w:tcBorders>
              <w:tl2br w:val="nil"/>
              <w:tr2bl w:val="nil"/>
            </w:tcBorders>
            <w:shd w:val="clear" w:color="000000" w:fill="FFFFFF"/>
            <w:vAlign w:val="center"/>
          </w:tcPr>
          <w:p>
            <w:pPr>
              <w:jc w:val="center"/>
              <w:rPr>
                <w:rFonts w:ascii="宋体" w:hAnsi="宋体" w:cs="宋体"/>
                <w:kern w:val="0"/>
                <w:szCs w:val="21"/>
              </w:rPr>
            </w:pPr>
            <w:r>
              <w:rPr>
                <w:rFonts w:hint="eastAsia" w:ascii="宋体" w:hAnsi="宋体" w:cs="宋体"/>
                <w:kern w:val="0"/>
                <w:szCs w:val="21"/>
              </w:rPr>
              <w:t>%</w:t>
            </w:r>
          </w:p>
        </w:tc>
        <w:tc>
          <w:tcPr>
            <w:tcW w:w="1111" w:type="dxa"/>
            <w:tcBorders>
              <w:tl2br w:val="nil"/>
              <w:tr2bl w:val="nil"/>
            </w:tcBorders>
            <w:shd w:val="clear" w:color="000000" w:fill="FFFFFF"/>
            <w:vAlign w:val="center"/>
          </w:tcPr>
          <w:p>
            <w:pPr>
              <w:jc w:val="center"/>
              <w:rPr>
                <w:rFonts w:ascii="宋体" w:hAnsi="宋体" w:cs="宋体"/>
                <w:kern w:val="0"/>
                <w:szCs w:val="21"/>
              </w:rPr>
            </w:pPr>
            <w:r>
              <w:rPr>
                <w:rFonts w:hint="eastAsia" w:ascii="宋体" w:hAnsi="宋体" w:cs="宋体"/>
                <w:kern w:val="0"/>
                <w:szCs w:val="21"/>
              </w:rPr>
              <w:t>5.74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268" w:type="dxa"/>
            <w:tcBorders>
              <w:tl2br w:val="nil"/>
              <w:tr2bl w:val="nil"/>
            </w:tcBorders>
            <w:shd w:val="clear" w:color="000000" w:fill="FFFFFF"/>
            <w:vAlign w:val="center"/>
          </w:tcPr>
          <w:p>
            <w:pPr>
              <w:jc w:val="center"/>
              <w:rPr>
                <w:rFonts w:ascii="宋体" w:hAnsi="宋体" w:cs="宋体"/>
                <w:b/>
                <w:kern w:val="0"/>
                <w:szCs w:val="21"/>
              </w:rPr>
            </w:pPr>
            <w:r>
              <w:rPr>
                <w:rFonts w:hint="eastAsia" w:ascii="宋体" w:hAnsi="宋体" w:cs="宋体"/>
                <w:b/>
                <w:kern w:val="0"/>
                <w:szCs w:val="21"/>
              </w:rPr>
              <w:t>三</w:t>
            </w:r>
          </w:p>
        </w:tc>
        <w:tc>
          <w:tcPr>
            <w:tcW w:w="5807" w:type="dxa"/>
            <w:tcBorders>
              <w:tl2br w:val="nil"/>
              <w:tr2bl w:val="nil"/>
            </w:tcBorders>
            <w:shd w:val="clear" w:color="000000" w:fill="FFFFFF"/>
            <w:vAlign w:val="center"/>
          </w:tcPr>
          <w:p>
            <w:pPr>
              <w:jc w:val="center"/>
              <w:rPr>
                <w:rFonts w:ascii="宋体" w:hAnsi="宋体" w:cs="宋体"/>
                <w:b/>
                <w:kern w:val="0"/>
                <w:szCs w:val="21"/>
              </w:rPr>
            </w:pPr>
            <w:r>
              <w:rPr>
                <w:rFonts w:hint="eastAsia" w:ascii="宋体" w:hAnsi="宋体" w:cs="宋体"/>
                <w:b/>
                <w:kern w:val="0"/>
                <w:szCs w:val="21"/>
              </w:rPr>
              <w:t>通讯系统设备</w:t>
            </w:r>
          </w:p>
        </w:tc>
        <w:tc>
          <w:tcPr>
            <w:tcW w:w="1328" w:type="dxa"/>
            <w:tcBorders>
              <w:tl2br w:val="nil"/>
              <w:tr2bl w:val="nil"/>
            </w:tcBorders>
            <w:shd w:val="clear" w:color="000000" w:fill="FFFFFF"/>
            <w:vAlign w:val="center"/>
          </w:tcPr>
          <w:p>
            <w:pPr>
              <w:jc w:val="center"/>
              <w:rPr>
                <w:rFonts w:ascii="宋体" w:hAnsi="宋体" w:cs="宋体"/>
                <w:kern w:val="0"/>
                <w:szCs w:val="21"/>
              </w:rPr>
            </w:pPr>
          </w:p>
        </w:tc>
        <w:tc>
          <w:tcPr>
            <w:tcW w:w="1111" w:type="dxa"/>
            <w:tcBorders>
              <w:tl2br w:val="nil"/>
              <w:tr2bl w:val="nil"/>
            </w:tcBorders>
            <w:shd w:val="clear" w:color="000000" w:fill="FFFFFF"/>
            <w:vAlign w:val="center"/>
          </w:tcPr>
          <w:p>
            <w:pPr>
              <w:jc w:val="center"/>
              <w:rPr>
                <w:rFonts w:ascii="宋体" w:hAnsi="宋体" w:cs="宋体"/>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268" w:type="dxa"/>
            <w:tcBorders>
              <w:tl2br w:val="nil"/>
              <w:tr2bl w:val="nil"/>
            </w:tcBorders>
            <w:shd w:val="clear" w:color="000000" w:fill="FFFFFF"/>
            <w:vAlign w:val="center"/>
          </w:tcPr>
          <w:p>
            <w:pPr>
              <w:jc w:val="center"/>
              <w:rPr>
                <w:rFonts w:ascii="宋体" w:hAnsi="宋体" w:cs="宋体"/>
                <w:b/>
                <w:kern w:val="0"/>
                <w:szCs w:val="21"/>
              </w:rPr>
            </w:pPr>
            <w:r>
              <w:rPr>
                <w:rFonts w:hint="eastAsia" w:ascii="宋体" w:hAnsi="宋体" w:cs="宋体"/>
                <w:b/>
                <w:kern w:val="0"/>
                <w:szCs w:val="21"/>
              </w:rPr>
              <w:t>1</w:t>
            </w:r>
          </w:p>
        </w:tc>
        <w:tc>
          <w:tcPr>
            <w:tcW w:w="5807" w:type="dxa"/>
            <w:tcBorders>
              <w:tl2br w:val="nil"/>
              <w:tr2bl w:val="nil"/>
            </w:tcBorders>
            <w:shd w:val="clear" w:color="000000" w:fill="FFFFFF"/>
            <w:vAlign w:val="center"/>
          </w:tcPr>
          <w:p>
            <w:pPr>
              <w:jc w:val="center"/>
              <w:rPr>
                <w:rFonts w:ascii="宋体" w:hAnsi="宋体" w:cs="宋体"/>
                <w:b/>
                <w:kern w:val="0"/>
                <w:szCs w:val="21"/>
              </w:rPr>
            </w:pPr>
            <w:r>
              <w:rPr>
                <w:rFonts w:hint="eastAsia" w:ascii="宋体" w:hAnsi="宋体" w:cs="宋体"/>
                <w:b/>
                <w:kern w:val="0"/>
                <w:szCs w:val="21"/>
              </w:rPr>
              <w:t>侧通信电源及光纤传输设备</w:t>
            </w:r>
          </w:p>
        </w:tc>
        <w:tc>
          <w:tcPr>
            <w:tcW w:w="1328" w:type="dxa"/>
            <w:tcBorders>
              <w:tl2br w:val="nil"/>
              <w:tr2bl w:val="nil"/>
            </w:tcBorders>
            <w:shd w:val="clear" w:color="000000" w:fill="FFFFFF"/>
            <w:vAlign w:val="center"/>
          </w:tcPr>
          <w:p>
            <w:pPr>
              <w:jc w:val="center"/>
              <w:rPr>
                <w:rFonts w:ascii="宋体" w:hAnsi="宋体" w:cs="宋体"/>
                <w:kern w:val="0"/>
                <w:szCs w:val="21"/>
              </w:rPr>
            </w:pPr>
          </w:p>
        </w:tc>
        <w:tc>
          <w:tcPr>
            <w:tcW w:w="1111" w:type="dxa"/>
            <w:tcBorders>
              <w:tl2br w:val="nil"/>
              <w:tr2bl w:val="nil"/>
            </w:tcBorders>
            <w:shd w:val="clear" w:color="000000" w:fill="FFFFFF"/>
            <w:vAlign w:val="center"/>
          </w:tcPr>
          <w:p>
            <w:pPr>
              <w:jc w:val="center"/>
              <w:rPr>
                <w:rFonts w:ascii="宋体" w:hAnsi="宋体" w:cs="宋体"/>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268" w:type="dxa"/>
            <w:tcBorders>
              <w:tl2br w:val="nil"/>
              <w:tr2bl w:val="nil"/>
            </w:tcBorders>
            <w:shd w:val="clear" w:color="000000" w:fill="FFFFFF"/>
            <w:vAlign w:val="center"/>
          </w:tcPr>
          <w:p>
            <w:pPr>
              <w:jc w:val="center"/>
              <w:rPr>
                <w:rFonts w:ascii="宋体" w:hAnsi="宋体" w:cs="宋体"/>
                <w:kern w:val="0"/>
                <w:szCs w:val="21"/>
              </w:rPr>
            </w:pPr>
            <w:r>
              <w:rPr>
                <w:rFonts w:hint="eastAsia" w:ascii="宋体" w:hAnsi="宋体" w:cs="宋体"/>
                <w:kern w:val="0"/>
                <w:szCs w:val="21"/>
              </w:rPr>
              <w:t>1.1</w:t>
            </w:r>
          </w:p>
        </w:tc>
        <w:tc>
          <w:tcPr>
            <w:tcW w:w="5807" w:type="dxa"/>
            <w:tcBorders>
              <w:tl2br w:val="nil"/>
              <w:tr2bl w:val="nil"/>
            </w:tcBorders>
            <w:shd w:val="clear" w:color="000000" w:fill="FFFFFF"/>
            <w:vAlign w:val="center"/>
          </w:tcPr>
          <w:p>
            <w:pPr>
              <w:jc w:val="center"/>
              <w:rPr>
                <w:rFonts w:ascii="宋体" w:hAnsi="宋体" w:cs="宋体"/>
                <w:kern w:val="0"/>
                <w:szCs w:val="21"/>
              </w:rPr>
            </w:pPr>
            <w:r>
              <w:rPr>
                <w:rFonts w:hint="eastAsia" w:ascii="宋体" w:hAnsi="宋体" w:cs="宋体"/>
                <w:kern w:val="0"/>
                <w:szCs w:val="21"/>
              </w:rPr>
              <w:t>闸门通讯电源48V/60A-60AH</w:t>
            </w:r>
          </w:p>
        </w:tc>
        <w:tc>
          <w:tcPr>
            <w:tcW w:w="1328" w:type="dxa"/>
            <w:tcBorders>
              <w:tl2br w:val="nil"/>
              <w:tr2bl w:val="nil"/>
            </w:tcBorders>
            <w:shd w:val="clear" w:color="000000" w:fill="FFFFFF"/>
            <w:vAlign w:val="center"/>
          </w:tcPr>
          <w:p>
            <w:pPr>
              <w:jc w:val="center"/>
              <w:rPr>
                <w:rFonts w:ascii="宋体" w:hAnsi="宋体" w:cs="宋体"/>
                <w:kern w:val="0"/>
                <w:szCs w:val="21"/>
              </w:rPr>
            </w:pPr>
            <w:r>
              <w:rPr>
                <w:rFonts w:hint="eastAsia" w:ascii="宋体" w:hAnsi="宋体" w:cs="宋体"/>
                <w:kern w:val="0"/>
                <w:szCs w:val="21"/>
              </w:rPr>
              <w:t>套</w:t>
            </w:r>
          </w:p>
        </w:tc>
        <w:tc>
          <w:tcPr>
            <w:tcW w:w="1111" w:type="dxa"/>
            <w:tcBorders>
              <w:tl2br w:val="nil"/>
              <w:tr2bl w:val="nil"/>
            </w:tcBorders>
            <w:shd w:val="clear" w:color="000000" w:fill="FFFFFF"/>
            <w:vAlign w:val="center"/>
          </w:tcPr>
          <w:p>
            <w:pPr>
              <w:jc w:val="center"/>
              <w:rPr>
                <w:rFonts w:ascii="宋体" w:hAnsi="宋体" w:cs="宋体"/>
                <w:kern w:val="0"/>
                <w:szCs w:val="21"/>
              </w:rPr>
            </w:pPr>
            <w:r>
              <w:rPr>
                <w:rFonts w:hint="eastAsia" w:ascii="宋体" w:hAnsi="宋体" w:cs="宋体"/>
                <w:kern w:val="0"/>
                <w:szCs w:val="21"/>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268" w:type="dxa"/>
            <w:tcBorders>
              <w:tl2br w:val="nil"/>
              <w:tr2bl w:val="nil"/>
            </w:tcBorders>
            <w:shd w:val="clear" w:color="000000" w:fill="FFFFFF"/>
            <w:vAlign w:val="center"/>
          </w:tcPr>
          <w:p>
            <w:pPr>
              <w:jc w:val="center"/>
              <w:rPr>
                <w:rFonts w:ascii="宋体" w:hAnsi="宋体" w:cs="宋体"/>
                <w:kern w:val="0"/>
                <w:szCs w:val="21"/>
              </w:rPr>
            </w:pPr>
            <w:r>
              <w:rPr>
                <w:rFonts w:hint="eastAsia" w:ascii="宋体" w:hAnsi="宋体" w:cs="宋体"/>
                <w:kern w:val="0"/>
                <w:szCs w:val="21"/>
              </w:rPr>
              <w:t>1.2</w:t>
            </w:r>
          </w:p>
        </w:tc>
        <w:tc>
          <w:tcPr>
            <w:tcW w:w="5807" w:type="dxa"/>
            <w:tcBorders>
              <w:tl2br w:val="nil"/>
              <w:tr2bl w:val="nil"/>
            </w:tcBorders>
            <w:shd w:val="clear" w:color="000000" w:fill="FFFFFF"/>
            <w:vAlign w:val="center"/>
          </w:tcPr>
          <w:p>
            <w:pPr>
              <w:jc w:val="center"/>
              <w:rPr>
                <w:rFonts w:ascii="宋体" w:hAnsi="宋体" w:cs="宋体"/>
                <w:kern w:val="0"/>
                <w:szCs w:val="21"/>
              </w:rPr>
            </w:pPr>
            <w:r>
              <w:rPr>
                <w:rFonts w:hint="eastAsia" w:ascii="宋体" w:hAnsi="宋体" w:cs="宋体"/>
                <w:kern w:val="0"/>
                <w:szCs w:val="21"/>
              </w:rPr>
              <w:t>光传输设备</w:t>
            </w:r>
          </w:p>
        </w:tc>
        <w:tc>
          <w:tcPr>
            <w:tcW w:w="1328" w:type="dxa"/>
            <w:tcBorders>
              <w:tl2br w:val="nil"/>
              <w:tr2bl w:val="nil"/>
            </w:tcBorders>
            <w:shd w:val="clear" w:color="000000" w:fill="FFFFFF"/>
            <w:vAlign w:val="center"/>
          </w:tcPr>
          <w:p>
            <w:pPr>
              <w:jc w:val="center"/>
              <w:rPr>
                <w:rFonts w:ascii="宋体" w:hAnsi="宋体" w:cs="宋体"/>
                <w:kern w:val="0"/>
                <w:szCs w:val="21"/>
              </w:rPr>
            </w:pPr>
            <w:r>
              <w:rPr>
                <w:rFonts w:hint="eastAsia" w:ascii="宋体" w:hAnsi="宋体" w:cs="宋体"/>
                <w:kern w:val="0"/>
                <w:szCs w:val="21"/>
              </w:rPr>
              <w:t>套</w:t>
            </w:r>
          </w:p>
        </w:tc>
        <w:tc>
          <w:tcPr>
            <w:tcW w:w="1111" w:type="dxa"/>
            <w:tcBorders>
              <w:tl2br w:val="nil"/>
              <w:tr2bl w:val="nil"/>
            </w:tcBorders>
            <w:shd w:val="clear" w:color="000000" w:fill="FFFFFF"/>
            <w:vAlign w:val="center"/>
          </w:tcPr>
          <w:p>
            <w:pPr>
              <w:jc w:val="center"/>
              <w:rPr>
                <w:rFonts w:ascii="宋体" w:hAnsi="宋体" w:cs="宋体"/>
                <w:kern w:val="0"/>
                <w:szCs w:val="21"/>
              </w:rPr>
            </w:pPr>
            <w:r>
              <w:rPr>
                <w:rFonts w:hint="eastAsia" w:ascii="宋体" w:hAnsi="宋体" w:cs="宋体"/>
                <w:kern w:val="0"/>
                <w:szCs w:val="21"/>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268" w:type="dxa"/>
            <w:tcBorders>
              <w:tl2br w:val="nil"/>
              <w:tr2bl w:val="nil"/>
            </w:tcBorders>
            <w:shd w:val="clear" w:color="000000" w:fill="FFFFFF"/>
            <w:vAlign w:val="center"/>
          </w:tcPr>
          <w:p>
            <w:pPr>
              <w:jc w:val="center"/>
              <w:rPr>
                <w:rFonts w:ascii="宋体" w:hAnsi="宋体" w:cs="宋体"/>
                <w:kern w:val="0"/>
                <w:szCs w:val="21"/>
              </w:rPr>
            </w:pPr>
            <w:r>
              <w:rPr>
                <w:rFonts w:hint="eastAsia" w:ascii="宋体" w:hAnsi="宋体" w:cs="宋体"/>
                <w:kern w:val="0"/>
                <w:szCs w:val="21"/>
              </w:rPr>
              <w:t>1.3</w:t>
            </w:r>
          </w:p>
        </w:tc>
        <w:tc>
          <w:tcPr>
            <w:tcW w:w="5807" w:type="dxa"/>
            <w:tcBorders>
              <w:tl2br w:val="nil"/>
              <w:tr2bl w:val="nil"/>
            </w:tcBorders>
            <w:shd w:val="clear" w:color="000000" w:fill="FFFFFF"/>
            <w:vAlign w:val="center"/>
          </w:tcPr>
          <w:p>
            <w:pPr>
              <w:jc w:val="center"/>
              <w:rPr>
                <w:rFonts w:ascii="宋体" w:hAnsi="宋体" w:cs="宋体"/>
                <w:kern w:val="0"/>
                <w:szCs w:val="21"/>
              </w:rPr>
            </w:pPr>
            <w:r>
              <w:rPr>
                <w:rFonts w:hint="eastAsia" w:ascii="宋体" w:hAnsi="宋体" w:cs="宋体"/>
                <w:kern w:val="0"/>
                <w:szCs w:val="21"/>
              </w:rPr>
              <w:t>应急电源EPS</w:t>
            </w:r>
          </w:p>
        </w:tc>
        <w:tc>
          <w:tcPr>
            <w:tcW w:w="1328" w:type="dxa"/>
            <w:tcBorders>
              <w:tl2br w:val="nil"/>
              <w:tr2bl w:val="nil"/>
            </w:tcBorders>
            <w:shd w:val="clear" w:color="000000" w:fill="FFFFFF"/>
            <w:vAlign w:val="center"/>
          </w:tcPr>
          <w:p>
            <w:pPr>
              <w:jc w:val="center"/>
              <w:rPr>
                <w:rFonts w:ascii="宋体" w:hAnsi="宋体" w:cs="宋体"/>
                <w:kern w:val="0"/>
                <w:szCs w:val="21"/>
              </w:rPr>
            </w:pPr>
            <w:r>
              <w:rPr>
                <w:rFonts w:hint="eastAsia" w:ascii="宋体" w:hAnsi="宋体" w:cs="宋体"/>
                <w:kern w:val="0"/>
                <w:szCs w:val="21"/>
              </w:rPr>
              <w:t>套</w:t>
            </w:r>
          </w:p>
        </w:tc>
        <w:tc>
          <w:tcPr>
            <w:tcW w:w="1111" w:type="dxa"/>
            <w:tcBorders>
              <w:tl2br w:val="nil"/>
              <w:tr2bl w:val="nil"/>
            </w:tcBorders>
            <w:shd w:val="clear" w:color="000000" w:fill="FFFFFF"/>
            <w:vAlign w:val="center"/>
          </w:tcPr>
          <w:p>
            <w:pPr>
              <w:jc w:val="center"/>
              <w:rPr>
                <w:rFonts w:ascii="宋体" w:hAnsi="宋体" w:cs="宋体"/>
                <w:kern w:val="0"/>
                <w:szCs w:val="21"/>
              </w:rPr>
            </w:pPr>
            <w:r>
              <w:rPr>
                <w:rFonts w:hint="eastAsia" w:ascii="宋体" w:hAnsi="宋体" w:cs="宋体"/>
                <w:kern w:val="0"/>
                <w:szCs w:val="21"/>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268" w:type="dxa"/>
            <w:tcBorders>
              <w:tl2br w:val="nil"/>
              <w:tr2bl w:val="nil"/>
            </w:tcBorders>
            <w:shd w:val="clear" w:color="000000" w:fill="FFFFFF"/>
            <w:vAlign w:val="center"/>
          </w:tcPr>
          <w:p>
            <w:pPr>
              <w:jc w:val="center"/>
              <w:rPr>
                <w:rFonts w:ascii="宋体" w:hAnsi="宋体" w:cs="宋体"/>
                <w:kern w:val="0"/>
                <w:szCs w:val="21"/>
              </w:rPr>
            </w:pPr>
            <w:r>
              <w:rPr>
                <w:rFonts w:hint="eastAsia" w:ascii="宋体" w:hAnsi="宋体" w:cs="宋体"/>
                <w:kern w:val="0"/>
                <w:szCs w:val="21"/>
              </w:rPr>
              <w:t>1.4</w:t>
            </w:r>
          </w:p>
        </w:tc>
        <w:tc>
          <w:tcPr>
            <w:tcW w:w="5807" w:type="dxa"/>
            <w:tcBorders>
              <w:tl2br w:val="nil"/>
              <w:tr2bl w:val="nil"/>
            </w:tcBorders>
            <w:shd w:val="clear" w:color="000000" w:fill="FFFFFF"/>
            <w:vAlign w:val="center"/>
          </w:tcPr>
          <w:p>
            <w:pPr>
              <w:jc w:val="center"/>
              <w:rPr>
                <w:rFonts w:ascii="宋体" w:hAnsi="宋体" w:cs="宋体"/>
                <w:kern w:val="0"/>
                <w:szCs w:val="21"/>
              </w:rPr>
            </w:pPr>
            <w:r>
              <w:rPr>
                <w:rFonts w:hint="eastAsia" w:ascii="宋体" w:hAnsi="宋体" w:cs="宋体"/>
                <w:kern w:val="0"/>
                <w:szCs w:val="21"/>
              </w:rPr>
              <w:t>综合运杂费用</w:t>
            </w:r>
          </w:p>
        </w:tc>
        <w:tc>
          <w:tcPr>
            <w:tcW w:w="1328" w:type="dxa"/>
            <w:tcBorders>
              <w:tl2br w:val="nil"/>
              <w:tr2bl w:val="nil"/>
            </w:tcBorders>
            <w:shd w:val="clear" w:color="000000" w:fill="FFFFFF"/>
            <w:vAlign w:val="center"/>
          </w:tcPr>
          <w:p>
            <w:pPr>
              <w:jc w:val="center"/>
              <w:rPr>
                <w:rFonts w:ascii="宋体" w:hAnsi="宋体" w:cs="宋体"/>
                <w:kern w:val="0"/>
                <w:szCs w:val="21"/>
              </w:rPr>
            </w:pPr>
            <w:r>
              <w:rPr>
                <w:rFonts w:hint="eastAsia" w:ascii="宋体" w:hAnsi="宋体" w:cs="宋体"/>
                <w:kern w:val="0"/>
                <w:szCs w:val="21"/>
              </w:rPr>
              <w:t>%</w:t>
            </w:r>
          </w:p>
        </w:tc>
        <w:tc>
          <w:tcPr>
            <w:tcW w:w="1111" w:type="dxa"/>
            <w:tcBorders>
              <w:tl2br w:val="nil"/>
              <w:tr2bl w:val="nil"/>
            </w:tcBorders>
            <w:shd w:val="clear" w:color="000000" w:fill="FFFFFF"/>
            <w:vAlign w:val="center"/>
          </w:tcPr>
          <w:p>
            <w:pPr>
              <w:jc w:val="center"/>
              <w:rPr>
                <w:rFonts w:ascii="宋体" w:hAnsi="宋体" w:cs="宋体"/>
                <w:kern w:val="0"/>
                <w:szCs w:val="21"/>
              </w:rPr>
            </w:pPr>
            <w:r>
              <w:rPr>
                <w:rFonts w:hint="eastAsia" w:ascii="宋体" w:hAnsi="宋体" w:cs="宋体"/>
                <w:kern w:val="0"/>
                <w:szCs w:val="21"/>
              </w:rPr>
              <w:t>5.74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268" w:type="dxa"/>
            <w:tcBorders>
              <w:tl2br w:val="nil"/>
              <w:tr2bl w:val="nil"/>
            </w:tcBorders>
            <w:shd w:val="clear" w:color="000000" w:fill="FFFFFF"/>
            <w:vAlign w:val="center"/>
          </w:tcPr>
          <w:p>
            <w:pPr>
              <w:jc w:val="center"/>
              <w:rPr>
                <w:rFonts w:ascii="宋体" w:hAnsi="宋体" w:cs="宋体"/>
                <w:b/>
                <w:kern w:val="0"/>
                <w:sz w:val="24"/>
                <w:szCs w:val="24"/>
              </w:rPr>
            </w:pPr>
            <w:r>
              <w:rPr>
                <w:rFonts w:hint="eastAsia" w:ascii="宋体" w:hAnsi="宋体" w:cs="宋体"/>
                <w:b/>
                <w:kern w:val="0"/>
                <w:sz w:val="24"/>
                <w:szCs w:val="24"/>
              </w:rPr>
              <w:t>2</w:t>
            </w:r>
          </w:p>
        </w:tc>
        <w:tc>
          <w:tcPr>
            <w:tcW w:w="5807" w:type="dxa"/>
            <w:tcBorders>
              <w:tl2br w:val="nil"/>
              <w:tr2bl w:val="nil"/>
            </w:tcBorders>
            <w:shd w:val="clear" w:color="000000" w:fill="FFFFFF"/>
            <w:vAlign w:val="center"/>
          </w:tcPr>
          <w:p>
            <w:pPr>
              <w:jc w:val="center"/>
              <w:rPr>
                <w:rFonts w:ascii="宋体" w:hAnsi="宋体" w:cs="宋体"/>
                <w:b/>
                <w:kern w:val="0"/>
                <w:sz w:val="22"/>
              </w:rPr>
            </w:pPr>
            <w:r>
              <w:rPr>
                <w:rFonts w:hint="eastAsia" w:ascii="宋体" w:hAnsi="宋体" w:cs="宋体"/>
                <w:b/>
                <w:kern w:val="0"/>
                <w:sz w:val="22"/>
              </w:rPr>
              <w:t>专用工具</w:t>
            </w:r>
          </w:p>
        </w:tc>
        <w:tc>
          <w:tcPr>
            <w:tcW w:w="1328" w:type="dxa"/>
            <w:tcBorders>
              <w:tl2br w:val="nil"/>
              <w:tr2bl w:val="nil"/>
            </w:tcBorders>
            <w:shd w:val="clear" w:color="000000" w:fill="FFFFFF"/>
            <w:vAlign w:val="center"/>
          </w:tcPr>
          <w:p>
            <w:pPr>
              <w:jc w:val="center"/>
              <w:rPr>
                <w:rFonts w:ascii="宋体" w:hAnsi="宋体" w:cs="宋体"/>
                <w:kern w:val="0"/>
                <w:sz w:val="22"/>
              </w:rPr>
            </w:pPr>
          </w:p>
        </w:tc>
        <w:tc>
          <w:tcPr>
            <w:tcW w:w="1111" w:type="dxa"/>
            <w:tcBorders>
              <w:tl2br w:val="nil"/>
              <w:tr2bl w:val="nil"/>
            </w:tcBorders>
            <w:shd w:val="clear" w:color="000000" w:fill="FFFFFF"/>
            <w:vAlign w:val="center"/>
          </w:tcPr>
          <w:p>
            <w:pPr>
              <w:jc w:val="center"/>
              <w:rPr>
                <w:rFonts w:ascii="宋体" w:hAnsi="宋体" w:cs="宋体"/>
                <w:kern w:val="0"/>
                <w:sz w:val="22"/>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268" w:type="dxa"/>
            <w:tcBorders>
              <w:tl2br w:val="nil"/>
              <w:tr2bl w:val="nil"/>
            </w:tcBorders>
            <w:shd w:val="clear" w:color="000000" w:fill="FFFFFF"/>
            <w:vAlign w:val="center"/>
          </w:tcPr>
          <w:p>
            <w:pPr>
              <w:jc w:val="center"/>
              <w:rPr>
                <w:rFonts w:ascii="宋体" w:hAnsi="宋体" w:cs="宋体"/>
                <w:kern w:val="0"/>
                <w:sz w:val="24"/>
                <w:szCs w:val="24"/>
              </w:rPr>
            </w:pPr>
            <w:r>
              <w:rPr>
                <w:rFonts w:hint="eastAsia" w:ascii="宋体" w:hAnsi="宋体" w:cs="宋体"/>
                <w:kern w:val="0"/>
                <w:sz w:val="24"/>
                <w:szCs w:val="24"/>
              </w:rPr>
              <w:t>2.1</w:t>
            </w:r>
          </w:p>
        </w:tc>
        <w:tc>
          <w:tcPr>
            <w:tcW w:w="5807" w:type="dxa"/>
            <w:tcBorders>
              <w:tl2br w:val="nil"/>
              <w:tr2bl w:val="nil"/>
            </w:tcBorders>
            <w:shd w:val="clear" w:color="000000" w:fill="FFFFFF"/>
            <w:vAlign w:val="center"/>
          </w:tcPr>
          <w:p>
            <w:pPr>
              <w:jc w:val="center"/>
              <w:rPr>
                <w:rFonts w:ascii="宋体" w:hAnsi="宋体" w:cs="宋体"/>
                <w:kern w:val="0"/>
                <w:sz w:val="22"/>
              </w:rPr>
            </w:pPr>
            <w:r>
              <w:rPr>
                <w:rFonts w:hint="eastAsia" w:ascii="宋体" w:hAnsi="宋体" w:cs="宋体"/>
                <w:kern w:val="0"/>
                <w:sz w:val="22"/>
              </w:rPr>
              <w:t>电讯工具箱</w:t>
            </w:r>
          </w:p>
        </w:tc>
        <w:tc>
          <w:tcPr>
            <w:tcW w:w="1328" w:type="dxa"/>
            <w:tcBorders>
              <w:tl2br w:val="nil"/>
              <w:tr2bl w:val="nil"/>
            </w:tcBorders>
            <w:shd w:val="clear" w:color="000000" w:fill="FFFFFF"/>
            <w:vAlign w:val="center"/>
          </w:tcPr>
          <w:p>
            <w:pPr>
              <w:jc w:val="center"/>
              <w:rPr>
                <w:rFonts w:ascii="宋体" w:hAnsi="宋体" w:cs="宋体"/>
                <w:kern w:val="0"/>
                <w:sz w:val="22"/>
              </w:rPr>
            </w:pPr>
            <w:r>
              <w:rPr>
                <w:rFonts w:hint="eastAsia" w:ascii="宋体" w:hAnsi="宋体" w:cs="宋体"/>
                <w:kern w:val="0"/>
                <w:sz w:val="22"/>
              </w:rPr>
              <w:t>项</w:t>
            </w:r>
          </w:p>
        </w:tc>
        <w:tc>
          <w:tcPr>
            <w:tcW w:w="1111" w:type="dxa"/>
            <w:tcBorders>
              <w:tl2br w:val="nil"/>
              <w:tr2bl w:val="nil"/>
            </w:tcBorders>
            <w:shd w:val="clear" w:color="000000" w:fill="FFFFFF"/>
            <w:vAlign w:val="center"/>
          </w:tcPr>
          <w:p>
            <w:pPr>
              <w:jc w:val="center"/>
              <w:rPr>
                <w:rFonts w:ascii="宋体" w:hAnsi="宋体" w:cs="宋体"/>
                <w:kern w:val="0"/>
                <w:sz w:val="22"/>
              </w:rPr>
            </w:pPr>
            <w:r>
              <w:rPr>
                <w:rFonts w:hint="eastAsia" w:ascii="宋体" w:hAnsi="宋体" w:cs="宋体"/>
                <w:kern w:val="0"/>
                <w:sz w:val="22"/>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268" w:type="dxa"/>
            <w:tcBorders>
              <w:tl2br w:val="nil"/>
              <w:tr2bl w:val="nil"/>
            </w:tcBorders>
            <w:shd w:val="clear" w:color="000000" w:fill="FFFFFF"/>
            <w:vAlign w:val="center"/>
          </w:tcPr>
          <w:p>
            <w:pPr>
              <w:jc w:val="center"/>
              <w:rPr>
                <w:rFonts w:ascii="宋体" w:hAnsi="宋体" w:cs="宋体"/>
                <w:kern w:val="0"/>
                <w:sz w:val="24"/>
                <w:szCs w:val="24"/>
              </w:rPr>
            </w:pPr>
            <w:r>
              <w:rPr>
                <w:rFonts w:hint="eastAsia" w:ascii="宋体" w:hAnsi="宋体" w:cs="宋体"/>
                <w:kern w:val="0"/>
                <w:sz w:val="24"/>
                <w:szCs w:val="24"/>
              </w:rPr>
              <w:t>2.2</w:t>
            </w:r>
          </w:p>
        </w:tc>
        <w:tc>
          <w:tcPr>
            <w:tcW w:w="5807" w:type="dxa"/>
            <w:tcBorders>
              <w:tl2br w:val="nil"/>
              <w:tr2bl w:val="nil"/>
            </w:tcBorders>
            <w:shd w:val="clear" w:color="000000" w:fill="FFFFFF"/>
            <w:vAlign w:val="center"/>
          </w:tcPr>
          <w:p>
            <w:pPr>
              <w:jc w:val="center"/>
              <w:rPr>
                <w:rFonts w:ascii="宋体" w:hAnsi="宋体" w:cs="宋体"/>
                <w:kern w:val="0"/>
                <w:sz w:val="22"/>
              </w:rPr>
            </w:pPr>
            <w:r>
              <w:rPr>
                <w:rFonts w:hint="eastAsia" w:ascii="宋体" w:hAnsi="宋体" w:cs="宋体"/>
                <w:kern w:val="0"/>
                <w:sz w:val="22"/>
              </w:rPr>
              <w:t>卡线刀</w:t>
            </w:r>
          </w:p>
        </w:tc>
        <w:tc>
          <w:tcPr>
            <w:tcW w:w="1328" w:type="dxa"/>
            <w:tcBorders>
              <w:tl2br w:val="nil"/>
              <w:tr2bl w:val="nil"/>
            </w:tcBorders>
            <w:shd w:val="clear" w:color="000000" w:fill="FFFFFF"/>
            <w:vAlign w:val="center"/>
          </w:tcPr>
          <w:p>
            <w:pPr>
              <w:jc w:val="center"/>
              <w:rPr>
                <w:rFonts w:ascii="宋体" w:hAnsi="宋体" w:cs="宋体"/>
                <w:kern w:val="0"/>
                <w:sz w:val="22"/>
              </w:rPr>
            </w:pPr>
            <w:r>
              <w:rPr>
                <w:rFonts w:hint="eastAsia" w:ascii="宋体" w:hAnsi="宋体" w:cs="宋体"/>
                <w:kern w:val="0"/>
                <w:sz w:val="22"/>
              </w:rPr>
              <w:t>把</w:t>
            </w:r>
          </w:p>
        </w:tc>
        <w:tc>
          <w:tcPr>
            <w:tcW w:w="1111" w:type="dxa"/>
            <w:tcBorders>
              <w:tl2br w:val="nil"/>
              <w:tr2bl w:val="nil"/>
            </w:tcBorders>
            <w:shd w:val="clear" w:color="000000" w:fill="FFFFFF"/>
            <w:vAlign w:val="center"/>
          </w:tcPr>
          <w:p>
            <w:pPr>
              <w:jc w:val="center"/>
              <w:rPr>
                <w:rFonts w:ascii="宋体" w:hAnsi="宋体" w:cs="宋体"/>
                <w:kern w:val="0"/>
                <w:sz w:val="22"/>
              </w:rPr>
            </w:pPr>
            <w:r>
              <w:rPr>
                <w:rFonts w:hint="eastAsia" w:ascii="宋体" w:hAnsi="宋体" w:cs="宋体"/>
                <w:kern w:val="0"/>
                <w:sz w:val="22"/>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268" w:type="dxa"/>
            <w:tcBorders>
              <w:tl2br w:val="nil"/>
              <w:tr2bl w:val="nil"/>
            </w:tcBorders>
            <w:shd w:val="clear" w:color="000000" w:fill="FFFFFF"/>
            <w:vAlign w:val="center"/>
          </w:tcPr>
          <w:p>
            <w:pPr>
              <w:jc w:val="center"/>
              <w:rPr>
                <w:rFonts w:ascii="宋体" w:hAnsi="宋体" w:cs="宋体"/>
                <w:kern w:val="0"/>
                <w:sz w:val="24"/>
                <w:szCs w:val="24"/>
              </w:rPr>
            </w:pPr>
            <w:r>
              <w:rPr>
                <w:rFonts w:hint="eastAsia" w:ascii="宋体" w:hAnsi="宋体" w:cs="宋体"/>
                <w:kern w:val="0"/>
                <w:sz w:val="24"/>
                <w:szCs w:val="24"/>
              </w:rPr>
              <w:t>2.3</w:t>
            </w:r>
          </w:p>
        </w:tc>
        <w:tc>
          <w:tcPr>
            <w:tcW w:w="5807" w:type="dxa"/>
            <w:tcBorders>
              <w:tl2br w:val="nil"/>
              <w:tr2bl w:val="nil"/>
            </w:tcBorders>
            <w:shd w:val="clear" w:color="000000" w:fill="FFFFFF"/>
            <w:vAlign w:val="center"/>
          </w:tcPr>
          <w:p>
            <w:pPr>
              <w:jc w:val="center"/>
              <w:rPr>
                <w:rFonts w:ascii="宋体" w:hAnsi="宋体" w:cs="宋体"/>
                <w:kern w:val="0"/>
                <w:sz w:val="22"/>
              </w:rPr>
            </w:pPr>
            <w:r>
              <w:rPr>
                <w:rFonts w:hint="eastAsia" w:ascii="宋体" w:hAnsi="宋体" w:cs="宋体"/>
                <w:kern w:val="0"/>
                <w:sz w:val="22"/>
              </w:rPr>
              <w:t>水晶头压线钳</w:t>
            </w:r>
          </w:p>
        </w:tc>
        <w:tc>
          <w:tcPr>
            <w:tcW w:w="1328" w:type="dxa"/>
            <w:tcBorders>
              <w:tl2br w:val="nil"/>
              <w:tr2bl w:val="nil"/>
            </w:tcBorders>
            <w:shd w:val="clear" w:color="000000" w:fill="FFFFFF"/>
            <w:vAlign w:val="center"/>
          </w:tcPr>
          <w:p>
            <w:pPr>
              <w:jc w:val="center"/>
              <w:rPr>
                <w:rFonts w:ascii="宋体" w:hAnsi="宋体" w:cs="宋体"/>
                <w:kern w:val="0"/>
                <w:sz w:val="22"/>
              </w:rPr>
            </w:pPr>
            <w:r>
              <w:rPr>
                <w:rFonts w:hint="eastAsia" w:ascii="宋体" w:hAnsi="宋体" w:cs="宋体"/>
                <w:kern w:val="0"/>
                <w:sz w:val="22"/>
              </w:rPr>
              <w:t>把</w:t>
            </w:r>
          </w:p>
        </w:tc>
        <w:tc>
          <w:tcPr>
            <w:tcW w:w="1111" w:type="dxa"/>
            <w:tcBorders>
              <w:tl2br w:val="nil"/>
              <w:tr2bl w:val="nil"/>
            </w:tcBorders>
            <w:shd w:val="clear" w:color="000000" w:fill="FFFFFF"/>
            <w:vAlign w:val="center"/>
          </w:tcPr>
          <w:p>
            <w:pPr>
              <w:jc w:val="center"/>
              <w:rPr>
                <w:rFonts w:ascii="宋体" w:hAnsi="宋体" w:cs="宋体"/>
                <w:kern w:val="0"/>
                <w:sz w:val="22"/>
              </w:rPr>
            </w:pPr>
            <w:r>
              <w:rPr>
                <w:rFonts w:hint="eastAsia" w:ascii="宋体" w:hAnsi="宋体" w:cs="宋体"/>
                <w:kern w:val="0"/>
                <w:sz w:val="22"/>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268" w:type="dxa"/>
            <w:tcBorders>
              <w:tl2br w:val="nil"/>
              <w:tr2bl w:val="nil"/>
            </w:tcBorders>
            <w:shd w:val="clear" w:color="000000" w:fill="FFFFFF"/>
            <w:vAlign w:val="center"/>
          </w:tcPr>
          <w:p>
            <w:pPr>
              <w:jc w:val="center"/>
              <w:rPr>
                <w:rFonts w:ascii="宋体" w:hAnsi="宋体" w:cs="宋体"/>
                <w:kern w:val="0"/>
                <w:sz w:val="24"/>
                <w:szCs w:val="24"/>
              </w:rPr>
            </w:pPr>
            <w:r>
              <w:rPr>
                <w:rFonts w:hint="eastAsia" w:ascii="宋体" w:hAnsi="宋体" w:cs="宋体"/>
                <w:kern w:val="0"/>
                <w:sz w:val="24"/>
                <w:szCs w:val="24"/>
              </w:rPr>
              <w:t>2.4</w:t>
            </w:r>
          </w:p>
        </w:tc>
        <w:tc>
          <w:tcPr>
            <w:tcW w:w="5807" w:type="dxa"/>
            <w:tcBorders>
              <w:tl2br w:val="nil"/>
              <w:tr2bl w:val="nil"/>
            </w:tcBorders>
            <w:shd w:val="clear" w:color="000000" w:fill="FFFFFF"/>
            <w:vAlign w:val="center"/>
          </w:tcPr>
          <w:p>
            <w:pPr>
              <w:jc w:val="center"/>
              <w:rPr>
                <w:rFonts w:ascii="宋体" w:hAnsi="宋体" w:cs="宋体"/>
                <w:kern w:val="0"/>
                <w:sz w:val="22"/>
              </w:rPr>
            </w:pPr>
            <w:r>
              <w:rPr>
                <w:rFonts w:hint="eastAsia" w:ascii="宋体" w:hAnsi="宋体" w:cs="宋体"/>
                <w:kern w:val="0"/>
                <w:sz w:val="22"/>
              </w:rPr>
              <w:t>万能表</w:t>
            </w:r>
          </w:p>
        </w:tc>
        <w:tc>
          <w:tcPr>
            <w:tcW w:w="1328" w:type="dxa"/>
            <w:tcBorders>
              <w:tl2br w:val="nil"/>
              <w:tr2bl w:val="nil"/>
            </w:tcBorders>
            <w:shd w:val="clear" w:color="000000" w:fill="FFFFFF"/>
            <w:vAlign w:val="center"/>
          </w:tcPr>
          <w:p>
            <w:pPr>
              <w:jc w:val="center"/>
              <w:rPr>
                <w:rFonts w:ascii="宋体" w:hAnsi="宋体" w:cs="宋体"/>
                <w:kern w:val="0"/>
                <w:sz w:val="22"/>
              </w:rPr>
            </w:pPr>
            <w:r>
              <w:rPr>
                <w:rFonts w:hint="eastAsia" w:ascii="宋体" w:hAnsi="宋体" w:cs="宋体"/>
                <w:kern w:val="0"/>
                <w:sz w:val="22"/>
              </w:rPr>
              <w:t>台</w:t>
            </w:r>
          </w:p>
        </w:tc>
        <w:tc>
          <w:tcPr>
            <w:tcW w:w="1111" w:type="dxa"/>
            <w:tcBorders>
              <w:tl2br w:val="nil"/>
              <w:tr2bl w:val="nil"/>
            </w:tcBorders>
            <w:shd w:val="clear" w:color="000000" w:fill="FFFFFF"/>
            <w:vAlign w:val="center"/>
          </w:tcPr>
          <w:p>
            <w:pPr>
              <w:jc w:val="center"/>
              <w:rPr>
                <w:rFonts w:ascii="宋体" w:hAnsi="宋体" w:cs="宋体"/>
                <w:kern w:val="0"/>
                <w:sz w:val="22"/>
              </w:rPr>
            </w:pPr>
            <w:r>
              <w:rPr>
                <w:rFonts w:hint="eastAsia" w:ascii="宋体" w:hAnsi="宋体" w:cs="宋体"/>
                <w:kern w:val="0"/>
                <w:sz w:val="22"/>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268" w:type="dxa"/>
            <w:tcBorders>
              <w:tl2br w:val="nil"/>
              <w:tr2bl w:val="nil"/>
            </w:tcBorders>
            <w:shd w:val="clear" w:color="000000" w:fill="FFFFFF"/>
            <w:vAlign w:val="center"/>
          </w:tcPr>
          <w:p>
            <w:pPr>
              <w:jc w:val="center"/>
              <w:rPr>
                <w:rFonts w:ascii="宋体" w:hAnsi="宋体" w:cs="宋体"/>
                <w:kern w:val="0"/>
                <w:sz w:val="24"/>
                <w:szCs w:val="24"/>
              </w:rPr>
            </w:pPr>
            <w:r>
              <w:rPr>
                <w:rFonts w:hint="eastAsia" w:ascii="宋体" w:hAnsi="宋体" w:cs="宋体"/>
                <w:kern w:val="0"/>
                <w:sz w:val="24"/>
                <w:szCs w:val="24"/>
              </w:rPr>
              <w:t>2.5</w:t>
            </w:r>
          </w:p>
        </w:tc>
        <w:tc>
          <w:tcPr>
            <w:tcW w:w="5807" w:type="dxa"/>
            <w:tcBorders>
              <w:tl2br w:val="nil"/>
              <w:tr2bl w:val="nil"/>
            </w:tcBorders>
            <w:shd w:val="clear" w:color="000000" w:fill="FFFFFF"/>
            <w:vAlign w:val="center"/>
          </w:tcPr>
          <w:p>
            <w:pPr>
              <w:jc w:val="center"/>
              <w:rPr>
                <w:rFonts w:ascii="宋体" w:hAnsi="宋体" w:cs="宋体"/>
                <w:kern w:val="0"/>
                <w:sz w:val="22"/>
              </w:rPr>
            </w:pPr>
            <w:r>
              <w:rPr>
                <w:rFonts w:hint="eastAsia" w:ascii="宋体" w:hAnsi="宋体" w:cs="宋体"/>
                <w:kern w:val="0"/>
                <w:sz w:val="22"/>
              </w:rPr>
              <w:t>综合运杂费用</w:t>
            </w:r>
          </w:p>
        </w:tc>
        <w:tc>
          <w:tcPr>
            <w:tcW w:w="1328" w:type="dxa"/>
            <w:tcBorders>
              <w:tl2br w:val="nil"/>
              <w:tr2bl w:val="nil"/>
            </w:tcBorders>
            <w:shd w:val="clear" w:color="000000" w:fill="FFFFFF"/>
            <w:vAlign w:val="center"/>
          </w:tcPr>
          <w:p>
            <w:pPr>
              <w:jc w:val="center"/>
              <w:rPr>
                <w:rFonts w:ascii="宋体" w:hAnsi="宋体" w:cs="宋体"/>
                <w:kern w:val="0"/>
                <w:sz w:val="22"/>
              </w:rPr>
            </w:pPr>
            <w:r>
              <w:rPr>
                <w:rFonts w:hint="eastAsia" w:ascii="宋体" w:hAnsi="宋体" w:cs="宋体"/>
                <w:kern w:val="0"/>
                <w:sz w:val="22"/>
              </w:rPr>
              <w:t>%</w:t>
            </w:r>
          </w:p>
        </w:tc>
        <w:tc>
          <w:tcPr>
            <w:tcW w:w="1111" w:type="dxa"/>
            <w:tcBorders>
              <w:tl2br w:val="nil"/>
              <w:tr2bl w:val="nil"/>
            </w:tcBorders>
            <w:shd w:val="clear" w:color="000000" w:fill="FFFFFF"/>
            <w:vAlign w:val="center"/>
          </w:tcPr>
          <w:p>
            <w:pPr>
              <w:jc w:val="center"/>
              <w:rPr>
                <w:rFonts w:ascii="宋体" w:hAnsi="宋体" w:cs="宋体"/>
                <w:kern w:val="0"/>
                <w:sz w:val="22"/>
              </w:rPr>
            </w:pPr>
            <w:r>
              <w:rPr>
                <w:rFonts w:hint="eastAsia" w:ascii="宋体" w:hAnsi="宋体" w:cs="宋体"/>
                <w:kern w:val="0"/>
                <w:sz w:val="22"/>
              </w:rPr>
              <w:t>5.74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268" w:type="dxa"/>
            <w:tcBorders>
              <w:tl2br w:val="nil"/>
              <w:tr2bl w:val="nil"/>
            </w:tcBorders>
            <w:shd w:val="clear" w:color="000000" w:fill="FFFFFF"/>
            <w:vAlign w:val="center"/>
          </w:tcPr>
          <w:p>
            <w:pPr>
              <w:jc w:val="center"/>
              <w:rPr>
                <w:rFonts w:ascii="宋体" w:hAnsi="宋体" w:cs="宋体"/>
                <w:b/>
                <w:kern w:val="0"/>
                <w:sz w:val="24"/>
                <w:szCs w:val="24"/>
              </w:rPr>
            </w:pPr>
            <w:r>
              <w:rPr>
                <w:rFonts w:hint="eastAsia" w:ascii="宋体" w:hAnsi="宋体" w:cs="宋体"/>
                <w:b/>
                <w:kern w:val="0"/>
                <w:sz w:val="24"/>
                <w:szCs w:val="24"/>
              </w:rPr>
              <w:t>3</w:t>
            </w:r>
          </w:p>
        </w:tc>
        <w:tc>
          <w:tcPr>
            <w:tcW w:w="5807" w:type="dxa"/>
            <w:tcBorders>
              <w:tl2br w:val="nil"/>
              <w:tr2bl w:val="nil"/>
            </w:tcBorders>
            <w:shd w:val="clear" w:color="000000" w:fill="FFFFFF"/>
            <w:vAlign w:val="center"/>
          </w:tcPr>
          <w:p>
            <w:pPr>
              <w:jc w:val="center"/>
              <w:rPr>
                <w:rFonts w:ascii="宋体" w:hAnsi="宋体" w:cs="宋体"/>
                <w:b/>
                <w:kern w:val="0"/>
                <w:sz w:val="22"/>
              </w:rPr>
            </w:pPr>
            <w:r>
              <w:rPr>
                <w:rFonts w:hint="eastAsia" w:ascii="宋体" w:hAnsi="宋体" w:cs="宋体"/>
                <w:b/>
                <w:kern w:val="0"/>
                <w:sz w:val="22"/>
              </w:rPr>
              <w:t>交换机</w:t>
            </w:r>
          </w:p>
        </w:tc>
        <w:tc>
          <w:tcPr>
            <w:tcW w:w="1328" w:type="dxa"/>
            <w:tcBorders>
              <w:tl2br w:val="nil"/>
              <w:tr2bl w:val="nil"/>
            </w:tcBorders>
            <w:shd w:val="clear" w:color="000000" w:fill="FFFFFF"/>
            <w:vAlign w:val="center"/>
          </w:tcPr>
          <w:p>
            <w:pPr>
              <w:jc w:val="center"/>
              <w:rPr>
                <w:rFonts w:ascii="宋体" w:hAnsi="宋体" w:cs="宋体"/>
                <w:kern w:val="0"/>
                <w:sz w:val="22"/>
              </w:rPr>
            </w:pPr>
          </w:p>
        </w:tc>
        <w:tc>
          <w:tcPr>
            <w:tcW w:w="1111" w:type="dxa"/>
            <w:tcBorders>
              <w:tl2br w:val="nil"/>
              <w:tr2bl w:val="nil"/>
            </w:tcBorders>
            <w:shd w:val="clear" w:color="000000" w:fill="FFFFFF"/>
            <w:vAlign w:val="center"/>
          </w:tcPr>
          <w:p>
            <w:pPr>
              <w:jc w:val="center"/>
              <w:rPr>
                <w:rFonts w:ascii="宋体" w:hAnsi="宋体" w:cs="宋体"/>
                <w:kern w:val="0"/>
                <w:sz w:val="22"/>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268" w:type="dxa"/>
            <w:tcBorders>
              <w:tl2br w:val="nil"/>
              <w:tr2bl w:val="nil"/>
            </w:tcBorders>
            <w:shd w:val="clear" w:color="000000" w:fill="FFFFFF"/>
            <w:vAlign w:val="center"/>
          </w:tcPr>
          <w:p>
            <w:pPr>
              <w:jc w:val="center"/>
              <w:rPr>
                <w:rFonts w:ascii="宋体" w:hAnsi="宋体" w:cs="宋体"/>
                <w:kern w:val="0"/>
                <w:sz w:val="24"/>
                <w:szCs w:val="24"/>
              </w:rPr>
            </w:pPr>
            <w:r>
              <w:rPr>
                <w:rFonts w:hint="eastAsia" w:ascii="宋体" w:hAnsi="宋体" w:cs="宋体"/>
                <w:kern w:val="0"/>
                <w:sz w:val="24"/>
                <w:szCs w:val="24"/>
              </w:rPr>
              <w:t>3.1</w:t>
            </w:r>
          </w:p>
        </w:tc>
        <w:tc>
          <w:tcPr>
            <w:tcW w:w="5807" w:type="dxa"/>
            <w:tcBorders>
              <w:tl2br w:val="nil"/>
              <w:tr2bl w:val="nil"/>
            </w:tcBorders>
            <w:shd w:val="clear" w:color="000000" w:fill="FFFFFF"/>
            <w:vAlign w:val="center"/>
          </w:tcPr>
          <w:p>
            <w:pPr>
              <w:jc w:val="center"/>
              <w:rPr>
                <w:rFonts w:ascii="宋体" w:hAnsi="宋体" w:cs="宋体"/>
                <w:kern w:val="0"/>
                <w:sz w:val="22"/>
              </w:rPr>
            </w:pPr>
            <w:r>
              <w:rPr>
                <w:rFonts w:hint="eastAsia" w:ascii="宋体" w:hAnsi="宋体" w:cs="宋体"/>
                <w:kern w:val="0"/>
                <w:sz w:val="22"/>
              </w:rPr>
              <w:t>网络交换机</w:t>
            </w:r>
          </w:p>
        </w:tc>
        <w:tc>
          <w:tcPr>
            <w:tcW w:w="1328" w:type="dxa"/>
            <w:tcBorders>
              <w:tl2br w:val="nil"/>
              <w:tr2bl w:val="nil"/>
            </w:tcBorders>
            <w:shd w:val="clear" w:color="000000" w:fill="FFFFFF"/>
            <w:vAlign w:val="center"/>
          </w:tcPr>
          <w:p>
            <w:pPr>
              <w:jc w:val="center"/>
              <w:rPr>
                <w:rFonts w:ascii="宋体" w:hAnsi="宋体" w:cs="宋体"/>
                <w:kern w:val="0"/>
                <w:sz w:val="22"/>
              </w:rPr>
            </w:pPr>
            <w:r>
              <w:rPr>
                <w:rFonts w:hint="eastAsia" w:ascii="宋体" w:hAnsi="宋体" w:cs="宋体"/>
                <w:kern w:val="0"/>
                <w:sz w:val="22"/>
              </w:rPr>
              <w:t>台</w:t>
            </w:r>
          </w:p>
        </w:tc>
        <w:tc>
          <w:tcPr>
            <w:tcW w:w="1111" w:type="dxa"/>
            <w:tcBorders>
              <w:tl2br w:val="nil"/>
              <w:tr2bl w:val="nil"/>
            </w:tcBorders>
            <w:shd w:val="clear" w:color="000000" w:fill="FFFFFF"/>
            <w:vAlign w:val="center"/>
          </w:tcPr>
          <w:p>
            <w:pPr>
              <w:jc w:val="center"/>
              <w:rPr>
                <w:rFonts w:ascii="宋体" w:hAnsi="宋体" w:cs="宋体"/>
                <w:kern w:val="0"/>
                <w:sz w:val="22"/>
              </w:rPr>
            </w:pPr>
            <w:r>
              <w:rPr>
                <w:rFonts w:hint="eastAsia" w:ascii="宋体" w:hAnsi="宋体" w:cs="宋体"/>
                <w:kern w:val="0"/>
                <w:sz w:val="22"/>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268" w:type="dxa"/>
            <w:tcBorders>
              <w:tl2br w:val="nil"/>
              <w:tr2bl w:val="nil"/>
            </w:tcBorders>
            <w:shd w:val="clear" w:color="000000" w:fill="FFFFFF"/>
            <w:vAlign w:val="center"/>
          </w:tcPr>
          <w:p>
            <w:pPr>
              <w:jc w:val="center"/>
              <w:rPr>
                <w:rFonts w:ascii="宋体" w:hAnsi="宋体" w:cs="宋体"/>
                <w:kern w:val="0"/>
                <w:sz w:val="24"/>
                <w:szCs w:val="24"/>
              </w:rPr>
            </w:pPr>
            <w:r>
              <w:rPr>
                <w:rFonts w:hint="eastAsia" w:ascii="宋体" w:hAnsi="宋体" w:cs="宋体"/>
                <w:kern w:val="0"/>
                <w:sz w:val="24"/>
                <w:szCs w:val="24"/>
              </w:rPr>
              <w:t>3.2</w:t>
            </w:r>
          </w:p>
        </w:tc>
        <w:tc>
          <w:tcPr>
            <w:tcW w:w="5807" w:type="dxa"/>
            <w:tcBorders>
              <w:tl2br w:val="nil"/>
              <w:tr2bl w:val="nil"/>
            </w:tcBorders>
            <w:shd w:val="clear" w:color="000000" w:fill="FFFFFF"/>
            <w:vAlign w:val="center"/>
          </w:tcPr>
          <w:p>
            <w:pPr>
              <w:jc w:val="center"/>
              <w:rPr>
                <w:rFonts w:ascii="宋体" w:hAnsi="宋体" w:cs="宋体"/>
                <w:kern w:val="0"/>
                <w:sz w:val="22"/>
              </w:rPr>
            </w:pPr>
            <w:r>
              <w:rPr>
                <w:rFonts w:hint="eastAsia" w:ascii="宋体" w:hAnsi="宋体" w:cs="宋体"/>
                <w:kern w:val="0"/>
                <w:sz w:val="22"/>
              </w:rPr>
              <w:t>综合运杂费用</w:t>
            </w:r>
          </w:p>
        </w:tc>
        <w:tc>
          <w:tcPr>
            <w:tcW w:w="1328" w:type="dxa"/>
            <w:tcBorders>
              <w:tl2br w:val="nil"/>
              <w:tr2bl w:val="nil"/>
            </w:tcBorders>
            <w:shd w:val="clear" w:color="000000" w:fill="FFFFFF"/>
            <w:vAlign w:val="center"/>
          </w:tcPr>
          <w:p>
            <w:pPr>
              <w:jc w:val="center"/>
              <w:rPr>
                <w:rFonts w:ascii="宋体" w:hAnsi="宋体" w:cs="宋体"/>
                <w:kern w:val="0"/>
                <w:sz w:val="22"/>
              </w:rPr>
            </w:pPr>
            <w:r>
              <w:rPr>
                <w:rFonts w:hint="eastAsia" w:ascii="宋体" w:hAnsi="宋体" w:cs="宋体"/>
                <w:kern w:val="0"/>
                <w:sz w:val="22"/>
              </w:rPr>
              <w:t>%</w:t>
            </w:r>
          </w:p>
        </w:tc>
        <w:tc>
          <w:tcPr>
            <w:tcW w:w="1111" w:type="dxa"/>
            <w:tcBorders>
              <w:tl2br w:val="nil"/>
              <w:tr2bl w:val="nil"/>
            </w:tcBorders>
            <w:shd w:val="clear" w:color="000000" w:fill="FFFFFF"/>
            <w:vAlign w:val="center"/>
          </w:tcPr>
          <w:p>
            <w:pPr>
              <w:jc w:val="center"/>
              <w:rPr>
                <w:rFonts w:ascii="宋体" w:hAnsi="宋体" w:cs="宋体"/>
                <w:kern w:val="0"/>
                <w:sz w:val="22"/>
              </w:rPr>
            </w:pPr>
            <w:r>
              <w:rPr>
                <w:rFonts w:hint="eastAsia" w:ascii="宋体" w:hAnsi="宋体" w:cs="宋体"/>
                <w:kern w:val="0"/>
                <w:sz w:val="22"/>
              </w:rPr>
              <w:t>5.74</w:t>
            </w:r>
          </w:p>
        </w:tc>
      </w:tr>
    </w:tbl>
    <w:p>
      <w:pPr>
        <w:numPr>
          <w:ilvl w:val="0"/>
          <w:numId w:val="7"/>
        </w:numPr>
        <w:ind w:left="220" w:right="-20"/>
        <w:jc w:val="left"/>
        <w:rPr>
          <w:rFonts w:ascii="宋体" w:hAnsi="宋体" w:cs="宋体"/>
          <w:b/>
          <w:sz w:val="24"/>
        </w:rPr>
      </w:pPr>
      <w:r>
        <w:rPr>
          <w:rFonts w:hint="eastAsia" w:ascii="宋体" w:hAnsi="宋体" w:cs="宋体"/>
          <w:b/>
          <w:sz w:val="24"/>
        </w:rPr>
        <w:t>技术条款</w:t>
      </w:r>
    </w:p>
    <w:p>
      <w:pPr>
        <w:spacing w:line="400" w:lineRule="exact"/>
        <w:ind w:firstLine="480" w:firstLineChars="200"/>
        <w:rPr>
          <w:rFonts w:ascii="宋体" w:hAnsi="宋体"/>
          <w:sz w:val="24"/>
          <w:szCs w:val="24"/>
        </w:rPr>
      </w:pPr>
      <w:r>
        <w:rPr>
          <w:rFonts w:hint="eastAsia" w:ascii="宋体" w:hAnsi="宋体"/>
          <w:sz w:val="24"/>
          <w:szCs w:val="24"/>
        </w:rPr>
        <w:t>（一）前言</w:t>
      </w:r>
    </w:p>
    <w:p>
      <w:pPr>
        <w:bidi w:val="0"/>
        <w:rPr>
          <w:rFonts w:hint="eastAsia" w:ascii="宋体" w:hAnsi="宋体" w:eastAsia="宋体" w:cs="宋体"/>
          <w:b/>
          <w:bCs/>
          <w:sz w:val="24"/>
          <w:szCs w:val="24"/>
        </w:rPr>
      </w:pPr>
      <w:bookmarkStart w:id="57" w:name="_Toc31791892"/>
      <w:r>
        <w:rPr>
          <w:rFonts w:hint="eastAsia" w:ascii="宋体" w:hAnsi="宋体" w:eastAsia="宋体" w:cs="宋体"/>
          <w:b/>
          <w:bCs/>
          <w:sz w:val="24"/>
          <w:szCs w:val="24"/>
        </w:rPr>
        <w:t>1 工程概况</w:t>
      </w:r>
      <w:bookmarkEnd w:id="57"/>
    </w:p>
    <w:p>
      <w:pPr>
        <w:spacing w:line="400" w:lineRule="exact"/>
        <w:ind w:firstLine="480" w:firstLineChars="200"/>
        <w:rPr>
          <w:rFonts w:ascii="宋体" w:hAnsi="宋体"/>
          <w:sz w:val="24"/>
          <w:szCs w:val="24"/>
        </w:rPr>
      </w:pPr>
      <w:r>
        <w:rPr>
          <w:rFonts w:hint="eastAsia" w:ascii="宋体" w:hAnsi="宋体"/>
          <w:sz w:val="24"/>
          <w:szCs w:val="24"/>
        </w:rPr>
        <w:t>松原灌区是正在实施的吉林省增产百亿斤商品粮能力建设的重点工程，是正在建设的哈达山水利枢纽工程的主要配套工程。灌区的田间工程也是正在实施的吉林省西部土地整理重大工程的重要组成部分。</w:t>
      </w:r>
    </w:p>
    <w:p>
      <w:pPr>
        <w:widowControl w:val="0"/>
        <w:numPr>
          <w:ilvl w:val="1"/>
          <w:numId w:val="8"/>
        </w:numPr>
        <w:spacing w:line="400" w:lineRule="exact"/>
        <w:ind w:left="0" w:firstLine="480" w:firstLineChars="200"/>
        <w:rPr>
          <w:rFonts w:ascii="宋体" w:hAnsi="宋体"/>
          <w:sz w:val="24"/>
          <w:szCs w:val="24"/>
        </w:rPr>
      </w:pPr>
      <w:r>
        <w:rPr>
          <w:rFonts w:hint="eastAsia" w:ascii="宋体" w:hAnsi="宋体"/>
          <w:sz w:val="24"/>
          <w:szCs w:val="24"/>
        </w:rPr>
        <w:t>大安片区渠系闸门2016年实施配电工程概况</w:t>
      </w:r>
    </w:p>
    <w:p>
      <w:pPr>
        <w:spacing w:line="400" w:lineRule="exact"/>
        <w:ind w:firstLine="480" w:firstLineChars="200"/>
        <w:rPr>
          <w:rFonts w:hint="eastAsia" w:ascii="宋体" w:hAnsi="宋体"/>
          <w:sz w:val="24"/>
          <w:szCs w:val="24"/>
        </w:rPr>
      </w:pPr>
      <w:r>
        <w:rPr>
          <w:rFonts w:hint="eastAsia" w:ascii="宋体" w:hAnsi="宋体"/>
          <w:sz w:val="24"/>
          <w:szCs w:val="24"/>
        </w:rPr>
        <w:t>2016年施工渠系闸门箱式变电站总数量8座，内装变压器容量30kVA，其中施工十三标段1座30kVA箱式变电站，施工十七标段1座30kVA箱式变电站，施工十九标段2座30kVA箱式变电站，施工二十标段1座30kVA箱式变电站，施工二十一标段1座30kVA箱式变电站，施工二十二标段2座30kVA箱式变电站。</w:t>
      </w:r>
    </w:p>
    <w:p>
      <w:pPr>
        <w:spacing w:line="400" w:lineRule="exact"/>
        <w:ind w:firstLine="480" w:firstLineChars="200"/>
        <w:rPr>
          <w:rFonts w:hint="eastAsia" w:ascii="宋体" w:hAnsi="宋体"/>
          <w:sz w:val="24"/>
          <w:szCs w:val="24"/>
        </w:rPr>
      </w:pPr>
    </w:p>
    <w:p>
      <w:pPr>
        <w:spacing w:line="400" w:lineRule="exact"/>
        <w:ind w:firstLine="480" w:firstLineChars="200"/>
        <w:rPr>
          <w:rFonts w:hint="eastAsia" w:ascii="宋体" w:hAnsi="宋体"/>
          <w:sz w:val="24"/>
          <w:szCs w:val="24"/>
          <w:lang w:eastAsia="zh-CN"/>
        </w:rPr>
      </w:pPr>
    </w:p>
    <w:p>
      <w:pPr>
        <w:pStyle w:val="4"/>
        <w:keepNext/>
        <w:keepLines/>
        <w:pageBreakBefore w:val="0"/>
        <w:widowControl/>
        <w:kinsoku/>
        <w:wordWrap/>
        <w:overflowPunct/>
        <w:topLinePunct w:val="0"/>
        <w:autoSpaceDE/>
        <w:autoSpaceDN/>
        <w:bidi w:val="0"/>
        <w:adjustRightInd/>
        <w:snapToGrid/>
        <w:spacing w:line="15" w:lineRule="auto"/>
        <w:textAlignment w:val="auto"/>
        <w:rPr>
          <w:rFonts w:hint="eastAsia"/>
          <w:sz w:val="28"/>
          <w:szCs w:val="28"/>
        </w:rPr>
      </w:pPr>
      <w:bookmarkStart w:id="58" w:name="_Toc31791893"/>
      <w:r>
        <w:rPr>
          <w:rFonts w:hint="eastAsia"/>
          <w:sz w:val="28"/>
          <w:szCs w:val="28"/>
        </w:rPr>
        <w:t>二、大安片区渠系闸门10kV箱式变电站</w:t>
      </w:r>
      <w:bookmarkEnd w:id="58"/>
    </w:p>
    <w:p>
      <w:pPr>
        <w:bidi w:val="0"/>
        <w:rPr>
          <w:rFonts w:hint="eastAsia" w:ascii="宋体" w:hAnsi="宋体" w:eastAsia="宋体" w:cs="宋体"/>
          <w:b/>
          <w:bCs/>
          <w:sz w:val="24"/>
          <w:szCs w:val="24"/>
        </w:rPr>
      </w:pPr>
      <w:bookmarkStart w:id="59" w:name="_Toc31791894"/>
      <w:r>
        <w:rPr>
          <w:rFonts w:hint="eastAsia" w:ascii="宋体" w:hAnsi="宋体" w:eastAsia="宋体" w:cs="宋体"/>
          <w:b/>
          <w:bCs/>
          <w:sz w:val="24"/>
          <w:szCs w:val="24"/>
        </w:rPr>
        <w:t>1、概述</w:t>
      </w:r>
      <w:bookmarkEnd w:id="59"/>
    </w:p>
    <w:p>
      <w:pPr>
        <w:widowControl w:val="0"/>
        <w:numPr>
          <w:ilvl w:val="0"/>
          <w:numId w:val="9"/>
        </w:numPr>
        <w:spacing w:line="400" w:lineRule="exact"/>
        <w:ind w:left="0" w:firstLine="480" w:firstLineChars="200"/>
        <w:rPr>
          <w:rFonts w:ascii="宋体" w:hAnsi="宋体"/>
          <w:sz w:val="24"/>
          <w:szCs w:val="24"/>
        </w:rPr>
      </w:pPr>
      <w:r>
        <w:rPr>
          <w:rFonts w:hint="eastAsia" w:ascii="宋体" w:hAnsi="宋体"/>
          <w:sz w:val="24"/>
          <w:szCs w:val="24"/>
        </w:rPr>
        <w:t>1工作范围</w:t>
      </w:r>
    </w:p>
    <w:p>
      <w:pPr>
        <w:spacing w:line="400" w:lineRule="exact"/>
        <w:ind w:firstLine="480" w:firstLineChars="200"/>
        <w:rPr>
          <w:rFonts w:ascii="宋体" w:hAnsi="宋体"/>
          <w:sz w:val="24"/>
          <w:szCs w:val="24"/>
        </w:rPr>
      </w:pPr>
      <w:r>
        <w:rPr>
          <w:rFonts w:hint="eastAsia" w:ascii="宋体" w:hAnsi="宋体"/>
          <w:sz w:val="24"/>
          <w:szCs w:val="24"/>
        </w:rPr>
        <w:t>本文件包含吉林省哈达山松原灌区工程大安片区2016年施工部分渠系闸门10kV户外箱式变电站电气设备的制造、工厂试验、包装、运输和交货所必须的工作。同时包括供货商技术负责人对现场安装过程的监督、指导、协助设备的安装、负责现场调试以及对采购商人员的培训。</w:t>
      </w:r>
    </w:p>
    <w:p>
      <w:pPr>
        <w:bidi w:val="0"/>
        <w:rPr>
          <w:rFonts w:hint="eastAsia" w:ascii="宋体" w:hAnsi="宋体" w:eastAsia="宋体" w:cs="宋体"/>
          <w:b/>
          <w:bCs/>
          <w:sz w:val="24"/>
          <w:szCs w:val="24"/>
        </w:rPr>
      </w:pPr>
      <w:bookmarkStart w:id="60" w:name="_Toc31791895"/>
      <w:r>
        <w:rPr>
          <w:rFonts w:hint="eastAsia" w:ascii="宋体" w:hAnsi="宋体" w:eastAsia="宋体" w:cs="宋体"/>
          <w:b/>
          <w:bCs/>
          <w:sz w:val="24"/>
          <w:szCs w:val="24"/>
        </w:rPr>
        <w:t>2、执行标准</w:t>
      </w:r>
      <w:bookmarkEnd w:id="60"/>
    </w:p>
    <w:p>
      <w:pPr>
        <w:spacing w:line="400" w:lineRule="exact"/>
        <w:ind w:firstLine="480" w:firstLineChars="200"/>
        <w:rPr>
          <w:rFonts w:ascii="宋体" w:hAnsi="宋体"/>
          <w:sz w:val="24"/>
          <w:szCs w:val="24"/>
        </w:rPr>
      </w:pPr>
      <w:r>
        <w:rPr>
          <w:rFonts w:hint="eastAsia" w:ascii="宋体" w:hAnsi="宋体"/>
          <w:sz w:val="24"/>
          <w:szCs w:val="24"/>
        </w:rPr>
        <w:t xml:space="preserve"> DL/J537</w:t>
      </w:r>
    </w:p>
    <w:p>
      <w:pPr>
        <w:spacing w:line="400" w:lineRule="exact"/>
        <w:ind w:firstLine="480" w:firstLineChars="200"/>
        <w:rPr>
          <w:rFonts w:ascii="宋体" w:hAnsi="宋体"/>
          <w:sz w:val="24"/>
          <w:szCs w:val="24"/>
        </w:rPr>
      </w:pPr>
      <w:r>
        <w:rPr>
          <w:rFonts w:hint="eastAsia" w:ascii="宋体" w:hAnsi="宋体"/>
          <w:sz w:val="24"/>
          <w:szCs w:val="24"/>
        </w:rPr>
        <w:t>GB   2900.1～2900.20     电工名词术语</w:t>
      </w:r>
    </w:p>
    <w:p>
      <w:pPr>
        <w:spacing w:line="400" w:lineRule="exact"/>
        <w:ind w:firstLine="480" w:firstLineChars="200"/>
        <w:rPr>
          <w:rFonts w:ascii="宋体" w:hAnsi="宋体"/>
          <w:sz w:val="24"/>
          <w:szCs w:val="24"/>
        </w:rPr>
      </w:pPr>
      <w:r>
        <w:rPr>
          <w:rFonts w:hint="eastAsia" w:ascii="宋体" w:hAnsi="宋体"/>
          <w:sz w:val="24"/>
          <w:szCs w:val="24"/>
        </w:rPr>
        <w:t>GB   311.1～311.6     高压输变电设备的绝缘配合</w:t>
      </w:r>
    </w:p>
    <w:p>
      <w:pPr>
        <w:spacing w:line="400" w:lineRule="exact"/>
        <w:ind w:firstLine="480" w:firstLineChars="200"/>
        <w:rPr>
          <w:rFonts w:ascii="宋体" w:hAnsi="宋体"/>
          <w:sz w:val="24"/>
          <w:szCs w:val="24"/>
        </w:rPr>
      </w:pPr>
      <w:r>
        <w:rPr>
          <w:rFonts w:hint="eastAsia" w:ascii="宋体" w:hAnsi="宋体"/>
          <w:sz w:val="24"/>
          <w:szCs w:val="24"/>
        </w:rPr>
        <w:t xml:space="preserve">                         高电压试验技术</w:t>
      </w:r>
    </w:p>
    <w:p>
      <w:pPr>
        <w:spacing w:line="400" w:lineRule="exact"/>
        <w:ind w:firstLine="480" w:firstLineChars="200"/>
        <w:rPr>
          <w:rFonts w:ascii="宋体" w:hAnsi="宋体"/>
          <w:sz w:val="24"/>
          <w:szCs w:val="24"/>
        </w:rPr>
      </w:pPr>
      <w:r>
        <w:rPr>
          <w:rFonts w:hint="eastAsia" w:ascii="宋体" w:hAnsi="宋体"/>
          <w:sz w:val="24"/>
          <w:szCs w:val="24"/>
        </w:rPr>
        <w:t xml:space="preserve">GB   11022           </w:t>
      </w:r>
      <w:r>
        <w:rPr>
          <w:rFonts w:ascii="宋体" w:hAnsi="宋体"/>
          <w:sz w:val="24"/>
          <w:szCs w:val="24"/>
        </w:rPr>
        <w:t xml:space="preserve"> </w:t>
      </w:r>
      <w:r>
        <w:rPr>
          <w:rFonts w:hint="eastAsia" w:ascii="宋体" w:hAnsi="宋体"/>
          <w:sz w:val="24"/>
          <w:szCs w:val="24"/>
        </w:rPr>
        <w:t>高压开关设备通用技术条件</w:t>
      </w:r>
    </w:p>
    <w:p>
      <w:pPr>
        <w:spacing w:line="400" w:lineRule="exact"/>
        <w:ind w:firstLine="480" w:firstLineChars="200"/>
        <w:rPr>
          <w:rFonts w:ascii="宋体" w:hAnsi="宋体"/>
          <w:sz w:val="24"/>
          <w:szCs w:val="24"/>
        </w:rPr>
      </w:pPr>
      <w:r>
        <w:rPr>
          <w:rFonts w:hint="eastAsia" w:ascii="宋体" w:hAnsi="宋体"/>
          <w:sz w:val="24"/>
          <w:szCs w:val="24"/>
        </w:rPr>
        <w:t xml:space="preserve">GB   1985            </w:t>
      </w:r>
      <w:r>
        <w:rPr>
          <w:rFonts w:ascii="宋体" w:hAnsi="宋体"/>
          <w:sz w:val="24"/>
          <w:szCs w:val="24"/>
        </w:rPr>
        <w:t xml:space="preserve"> </w:t>
      </w:r>
      <w:r>
        <w:rPr>
          <w:rFonts w:hint="eastAsia" w:ascii="宋体" w:hAnsi="宋体"/>
          <w:sz w:val="24"/>
          <w:szCs w:val="24"/>
        </w:rPr>
        <w:t>交流高压隔离开关和接地开关</w:t>
      </w:r>
    </w:p>
    <w:p>
      <w:pPr>
        <w:spacing w:line="400" w:lineRule="exact"/>
        <w:ind w:firstLine="480" w:firstLineChars="200"/>
        <w:rPr>
          <w:rFonts w:ascii="宋体" w:hAnsi="宋体"/>
          <w:sz w:val="24"/>
          <w:szCs w:val="24"/>
        </w:rPr>
      </w:pPr>
      <w:r>
        <w:rPr>
          <w:rFonts w:hint="eastAsia" w:ascii="宋体" w:hAnsi="宋体"/>
          <w:sz w:val="24"/>
          <w:szCs w:val="24"/>
        </w:rPr>
        <w:t xml:space="preserve">GB   3906            </w:t>
      </w:r>
      <w:r>
        <w:rPr>
          <w:rFonts w:ascii="宋体" w:hAnsi="宋体"/>
          <w:sz w:val="24"/>
          <w:szCs w:val="24"/>
        </w:rPr>
        <w:t xml:space="preserve"> </w:t>
      </w:r>
      <w:r>
        <w:rPr>
          <w:rFonts w:hint="eastAsia" w:ascii="宋体" w:hAnsi="宋体"/>
          <w:sz w:val="24"/>
          <w:szCs w:val="24"/>
        </w:rPr>
        <w:t>3～35kV交流金属封闭开关设备</w:t>
      </w:r>
    </w:p>
    <w:p>
      <w:pPr>
        <w:spacing w:line="400" w:lineRule="exact"/>
        <w:ind w:firstLine="480" w:firstLineChars="200"/>
        <w:rPr>
          <w:rFonts w:ascii="宋体" w:hAnsi="宋体"/>
          <w:sz w:val="24"/>
          <w:szCs w:val="24"/>
        </w:rPr>
      </w:pPr>
      <w:r>
        <w:rPr>
          <w:rFonts w:hint="eastAsia" w:ascii="宋体" w:hAnsi="宋体"/>
          <w:sz w:val="24"/>
          <w:szCs w:val="24"/>
        </w:rPr>
        <w:t xml:space="preserve">GB   763             </w:t>
      </w:r>
      <w:r>
        <w:rPr>
          <w:rFonts w:ascii="宋体" w:hAnsi="宋体"/>
          <w:sz w:val="24"/>
          <w:szCs w:val="24"/>
        </w:rPr>
        <w:t xml:space="preserve"> </w:t>
      </w:r>
      <w:r>
        <w:rPr>
          <w:rFonts w:hint="eastAsia" w:ascii="宋体" w:hAnsi="宋体"/>
          <w:sz w:val="24"/>
          <w:szCs w:val="24"/>
        </w:rPr>
        <w:t>交流高压电器在长期工作时的发热</w:t>
      </w:r>
    </w:p>
    <w:p>
      <w:pPr>
        <w:spacing w:line="400" w:lineRule="exact"/>
        <w:ind w:firstLine="480" w:firstLineChars="200"/>
        <w:rPr>
          <w:rFonts w:ascii="宋体" w:hAnsi="宋体"/>
          <w:sz w:val="24"/>
          <w:szCs w:val="24"/>
        </w:rPr>
      </w:pPr>
      <w:r>
        <w:rPr>
          <w:rFonts w:hint="eastAsia" w:ascii="宋体" w:hAnsi="宋体"/>
          <w:sz w:val="24"/>
          <w:szCs w:val="24"/>
        </w:rPr>
        <w:t>GB   3309            高压开关设备在常温下的机械试验</w:t>
      </w:r>
    </w:p>
    <w:p>
      <w:pPr>
        <w:spacing w:line="400" w:lineRule="exact"/>
        <w:ind w:firstLine="480" w:firstLineChars="200"/>
        <w:rPr>
          <w:rFonts w:ascii="宋体" w:hAnsi="宋体"/>
          <w:sz w:val="24"/>
          <w:szCs w:val="24"/>
        </w:rPr>
      </w:pPr>
      <w:r>
        <w:rPr>
          <w:rFonts w:hint="eastAsia" w:ascii="宋体" w:hAnsi="宋体"/>
          <w:sz w:val="24"/>
          <w:szCs w:val="24"/>
        </w:rPr>
        <w:t>GB   2706             交流高压电器动、热稳定试验方法</w:t>
      </w:r>
    </w:p>
    <w:p>
      <w:pPr>
        <w:spacing w:line="400" w:lineRule="exact"/>
        <w:ind w:firstLine="480" w:firstLineChars="200"/>
        <w:rPr>
          <w:rFonts w:ascii="宋体" w:hAnsi="宋体"/>
          <w:sz w:val="24"/>
          <w:szCs w:val="24"/>
        </w:rPr>
      </w:pPr>
      <w:r>
        <w:rPr>
          <w:rFonts w:hint="eastAsia" w:ascii="宋体" w:hAnsi="宋体"/>
          <w:sz w:val="24"/>
          <w:szCs w:val="24"/>
        </w:rPr>
        <w:t>GB   3804             3～63kV交流高压负荷开关</w:t>
      </w:r>
    </w:p>
    <w:p>
      <w:pPr>
        <w:spacing w:line="400" w:lineRule="exact"/>
        <w:ind w:firstLine="480" w:firstLineChars="200"/>
        <w:rPr>
          <w:rFonts w:ascii="宋体" w:hAnsi="宋体"/>
          <w:sz w:val="24"/>
          <w:szCs w:val="24"/>
        </w:rPr>
      </w:pPr>
      <w:r>
        <w:rPr>
          <w:rFonts w:hint="eastAsia" w:ascii="宋体" w:hAnsi="宋体"/>
          <w:sz w:val="24"/>
          <w:szCs w:val="24"/>
        </w:rPr>
        <w:t>GB   1094.1～1094.2   电力变压器</w:t>
      </w:r>
    </w:p>
    <w:p>
      <w:pPr>
        <w:spacing w:line="400" w:lineRule="exact"/>
        <w:ind w:firstLine="480" w:firstLineChars="200"/>
        <w:rPr>
          <w:rFonts w:ascii="宋体" w:hAnsi="宋体"/>
          <w:sz w:val="24"/>
          <w:szCs w:val="24"/>
        </w:rPr>
      </w:pPr>
      <w:r>
        <w:rPr>
          <w:rFonts w:hint="eastAsia" w:ascii="宋体" w:hAnsi="宋体"/>
          <w:sz w:val="24"/>
          <w:szCs w:val="24"/>
        </w:rPr>
        <w:t>GB   1094.3～1094.5   电力变压器</w:t>
      </w:r>
    </w:p>
    <w:p>
      <w:pPr>
        <w:spacing w:line="400" w:lineRule="exact"/>
        <w:ind w:firstLine="480" w:firstLineChars="200"/>
        <w:rPr>
          <w:rFonts w:ascii="宋体" w:hAnsi="宋体"/>
          <w:sz w:val="24"/>
          <w:szCs w:val="24"/>
        </w:rPr>
      </w:pPr>
      <w:r>
        <w:rPr>
          <w:rFonts w:hint="eastAsia" w:ascii="宋体" w:hAnsi="宋体"/>
          <w:sz w:val="24"/>
          <w:szCs w:val="24"/>
        </w:rPr>
        <w:t>GB   7251             低压成套开关设备</w:t>
      </w:r>
    </w:p>
    <w:p>
      <w:pPr>
        <w:spacing w:line="400" w:lineRule="exact"/>
        <w:ind w:firstLine="480" w:firstLineChars="200"/>
        <w:rPr>
          <w:rFonts w:ascii="宋体" w:hAnsi="宋体"/>
          <w:sz w:val="24"/>
          <w:szCs w:val="24"/>
        </w:rPr>
      </w:pPr>
      <w:r>
        <w:rPr>
          <w:rFonts w:hint="eastAsia" w:ascii="宋体" w:hAnsi="宋体"/>
          <w:sz w:val="24"/>
          <w:szCs w:val="24"/>
        </w:rPr>
        <w:t>GB   1497             低压电器基本标准</w:t>
      </w:r>
    </w:p>
    <w:p>
      <w:pPr>
        <w:spacing w:line="400" w:lineRule="exact"/>
        <w:ind w:firstLine="480" w:firstLineChars="200"/>
        <w:rPr>
          <w:rFonts w:ascii="宋体" w:hAnsi="宋体"/>
          <w:sz w:val="24"/>
          <w:szCs w:val="24"/>
        </w:rPr>
      </w:pPr>
      <w:r>
        <w:rPr>
          <w:rFonts w:hint="eastAsia" w:ascii="宋体" w:hAnsi="宋体"/>
          <w:sz w:val="24"/>
          <w:szCs w:val="24"/>
        </w:rPr>
        <w:t>GB   9466             低压成套开关设备基本试验方法</w:t>
      </w:r>
    </w:p>
    <w:p>
      <w:pPr>
        <w:spacing w:line="400" w:lineRule="exact"/>
        <w:ind w:firstLine="480" w:firstLineChars="200"/>
        <w:rPr>
          <w:rFonts w:ascii="宋体" w:hAnsi="宋体"/>
          <w:sz w:val="24"/>
          <w:szCs w:val="24"/>
        </w:rPr>
      </w:pPr>
      <w:r>
        <w:rPr>
          <w:rFonts w:hint="eastAsia" w:ascii="宋体" w:hAnsi="宋体"/>
          <w:sz w:val="24"/>
          <w:szCs w:val="24"/>
        </w:rPr>
        <w:t>GB   4208             外壳防护等级的分类</w:t>
      </w:r>
    </w:p>
    <w:p>
      <w:pPr>
        <w:spacing w:line="400" w:lineRule="exact"/>
        <w:ind w:firstLine="480" w:firstLineChars="200"/>
        <w:rPr>
          <w:rFonts w:ascii="宋体" w:hAnsi="宋体"/>
          <w:sz w:val="24"/>
          <w:szCs w:val="24"/>
        </w:rPr>
      </w:pPr>
      <w:r>
        <w:rPr>
          <w:rFonts w:hint="eastAsia" w:ascii="宋体" w:hAnsi="宋体"/>
          <w:sz w:val="24"/>
          <w:szCs w:val="24"/>
        </w:rPr>
        <w:t>DL   404              户内交流高压开关柜订货技术条件</w:t>
      </w:r>
    </w:p>
    <w:p>
      <w:pPr>
        <w:spacing w:line="400" w:lineRule="exact"/>
        <w:ind w:firstLine="480" w:firstLineChars="200"/>
        <w:rPr>
          <w:rFonts w:ascii="宋体" w:hAnsi="宋体"/>
          <w:sz w:val="24"/>
          <w:szCs w:val="24"/>
        </w:rPr>
      </w:pPr>
      <w:r>
        <w:rPr>
          <w:rFonts w:hint="eastAsia" w:ascii="宋体" w:hAnsi="宋体"/>
          <w:sz w:val="24"/>
          <w:szCs w:val="24"/>
        </w:rPr>
        <w:t>DL/T  539   户内交流高压开关柜和元部件凝露及污秽试验条件</w:t>
      </w:r>
    </w:p>
    <w:p>
      <w:pPr>
        <w:spacing w:line="400" w:lineRule="exact"/>
        <w:ind w:firstLine="480" w:firstLineChars="200"/>
        <w:rPr>
          <w:rFonts w:ascii="宋体" w:hAnsi="宋体"/>
          <w:sz w:val="24"/>
          <w:szCs w:val="24"/>
        </w:rPr>
      </w:pPr>
      <w:r>
        <w:rPr>
          <w:rFonts w:hint="eastAsia" w:ascii="宋体" w:hAnsi="宋体"/>
          <w:sz w:val="24"/>
          <w:szCs w:val="24"/>
        </w:rPr>
        <w:t>SD    318             高压开关柜闭锁装置技术条件</w:t>
      </w:r>
    </w:p>
    <w:p>
      <w:pPr>
        <w:spacing w:line="400" w:lineRule="exact"/>
        <w:ind w:firstLine="480" w:firstLineChars="200"/>
        <w:rPr>
          <w:rFonts w:ascii="宋体" w:hAnsi="宋体"/>
          <w:sz w:val="24"/>
          <w:szCs w:val="24"/>
        </w:rPr>
      </w:pPr>
      <w:r>
        <w:rPr>
          <w:rFonts w:hint="eastAsia" w:ascii="宋体" w:hAnsi="宋体"/>
          <w:sz w:val="24"/>
          <w:szCs w:val="24"/>
        </w:rPr>
        <w:t>SDJ   8               电力设备接地设计规程</w:t>
      </w:r>
    </w:p>
    <w:p>
      <w:pPr>
        <w:spacing w:line="400" w:lineRule="exact"/>
        <w:ind w:firstLine="480" w:firstLineChars="200"/>
        <w:rPr>
          <w:rFonts w:ascii="宋体" w:hAnsi="宋体"/>
          <w:sz w:val="24"/>
          <w:szCs w:val="24"/>
        </w:rPr>
      </w:pPr>
      <w:r>
        <w:rPr>
          <w:rFonts w:hint="eastAsia" w:ascii="宋体" w:hAnsi="宋体"/>
          <w:sz w:val="24"/>
          <w:szCs w:val="24"/>
        </w:rPr>
        <w:t>JB/DQ  2080           高压开关设备防雨试验方法</w:t>
      </w:r>
    </w:p>
    <w:p>
      <w:pPr>
        <w:spacing w:line="400" w:lineRule="exact"/>
        <w:ind w:firstLine="480" w:firstLineChars="200"/>
        <w:rPr>
          <w:rFonts w:ascii="宋体" w:hAnsi="宋体"/>
          <w:sz w:val="24"/>
          <w:szCs w:val="24"/>
        </w:rPr>
      </w:pPr>
      <w:r>
        <w:rPr>
          <w:rFonts w:hint="eastAsia" w:ascii="宋体" w:hAnsi="宋体"/>
          <w:sz w:val="24"/>
          <w:szCs w:val="24"/>
        </w:rPr>
        <w:t>GB   11032            交流无间隙金属氧化物避雷器</w:t>
      </w:r>
    </w:p>
    <w:p>
      <w:pPr>
        <w:spacing w:line="400" w:lineRule="exact"/>
        <w:ind w:firstLine="480" w:firstLineChars="200"/>
        <w:rPr>
          <w:rFonts w:ascii="宋体" w:hAnsi="宋体"/>
          <w:sz w:val="24"/>
          <w:szCs w:val="24"/>
        </w:rPr>
      </w:pPr>
      <w:r>
        <w:rPr>
          <w:rFonts w:hint="eastAsia" w:ascii="宋体" w:hAnsi="宋体"/>
          <w:sz w:val="24"/>
          <w:szCs w:val="24"/>
        </w:rPr>
        <w:t>IEC  99                交流无间隙金属氧化物避雷器</w:t>
      </w:r>
    </w:p>
    <w:p>
      <w:pPr>
        <w:bidi w:val="0"/>
        <w:rPr>
          <w:rFonts w:hint="eastAsia" w:ascii="宋体" w:hAnsi="宋体" w:eastAsia="宋体" w:cs="宋体"/>
          <w:b/>
          <w:bCs/>
          <w:sz w:val="24"/>
          <w:szCs w:val="24"/>
        </w:rPr>
      </w:pPr>
      <w:bookmarkStart w:id="61" w:name="_Toc31791896"/>
      <w:r>
        <w:rPr>
          <w:rFonts w:hint="eastAsia" w:ascii="宋体" w:hAnsi="宋体" w:eastAsia="宋体" w:cs="宋体"/>
          <w:b/>
          <w:bCs/>
          <w:sz w:val="24"/>
          <w:szCs w:val="24"/>
        </w:rPr>
        <w:t>3、箱式变电站</w:t>
      </w:r>
      <w:bookmarkEnd w:id="61"/>
    </w:p>
    <w:p>
      <w:pPr>
        <w:spacing w:line="400" w:lineRule="exact"/>
        <w:ind w:firstLine="480" w:firstLineChars="200"/>
        <w:rPr>
          <w:rFonts w:ascii="宋体" w:hAnsi="宋体"/>
          <w:sz w:val="24"/>
          <w:szCs w:val="24"/>
        </w:rPr>
      </w:pPr>
      <w:r>
        <w:rPr>
          <w:rFonts w:hint="eastAsia" w:ascii="宋体" w:hAnsi="宋体"/>
          <w:sz w:val="24"/>
          <w:szCs w:val="24"/>
        </w:rPr>
        <w:t>3．1由高压配电装置、电力变压器、低压配电装置、通信装置等组合在一个金属箱体内构成的成套配电装置，分成四个全封闭隔离室，即高压室、低压室、变压器室和通信设备室。</w:t>
      </w:r>
    </w:p>
    <w:p>
      <w:pPr>
        <w:bidi w:val="0"/>
        <w:rPr>
          <w:rFonts w:hint="eastAsia" w:ascii="宋体" w:hAnsi="宋体" w:eastAsia="宋体" w:cs="宋体"/>
          <w:b/>
          <w:bCs/>
          <w:sz w:val="24"/>
          <w:szCs w:val="24"/>
        </w:rPr>
      </w:pPr>
      <w:bookmarkStart w:id="62" w:name="_Toc31791897"/>
      <w:r>
        <w:rPr>
          <w:rFonts w:hint="eastAsia" w:ascii="宋体" w:hAnsi="宋体" w:eastAsia="宋体" w:cs="宋体"/>
          <w:b/>
          <w:bCs/>
          <w:sz w:val="24"/>
          <w:szCs w:val="24"/>
        </w:rPr>
        <w:t>4、使用环境条件</w:t>
      </w:r>
      <w:bookmarkEnd w:id="62"/>
    </w:p>
    <w:p>
      <w:pPr>
        <w:spacing w:line="400" w:lineRule="exact"/>
        <w:ind w:firstLine="480" w:firstLineChars="200"/>
        <w:rPr>
          <w:rFonts w:ascii="宋体" w:hAnsi="宋体"/>
          <w:sz w:val="24"/>
          <w:szCs w:val="24"/>
        </w:rPr>
      </w:pPr>
      <w:r>
        <w:rPr>
          <w:rFonts w:hint="eastAsia" w:ascii="宋体" w:hAnsi="宋体"/>
          <w:sz w:val="24"/>
          <w:szCs w:val="24"/>
        </w:rPr>
        <w:t xml:space="preserve">4．1温度      </w:t>
      </w:r>
    </w:p>
    <w:p>
      <w:pPr>
        <w:spacing w:line="400" w:lineRule="exact"/>
        <w:ind w:firstLine="480" w:firstLineChars="200"/>
        <w:rPr>
          <w:rFonts w:ascii="宋体" w:hAnsi="宋体"/>
          <w:sz w:val="24"/>
          <w:szCs w:val="24"/>
        </w:rPr>
      </w:pPr>
      <w:r>
        <w:rPr>
          <w:rFonts w:hint="eastAsia" w:ascii="宋体" w:hAnsi="宋体"/>
          <w:sz w:val="24"/>
          <w:szCs w:val="24"/>
        </w:rPr>
        <w:t>最高环境温度           +40°C</w:t>
      </w:r>
    </w:p>
    <w:p>
      <w:pPr>
        <w:spacing w:line="400" w:lineRule="exact"/>
        <w:ind w:firstLine="480" w:firstLineChars="200"/>
        <w:rPr>
          <w:rFonts w:ascii="宋体" w:hAnsi="宋体"/>
          <w:sz w:val="24"/>
          <w:szCs w:val="24"/>
        </w:rPr>
      </w:pPr>
      <w:r>
        <w:rPr>
          <w:rFonts w:hint="eastAsia" w:ascii="宋体" w:hAnsi="宋体"/>
          <w:sz w:val="24"/>
          <w:szCs w:val="24"/>
        </w:rPr>
        <w:t>最低环境温度           -40°C(户外)</w:t>
      </w:r>
    </w:p>
    <w:p>
      <w:pPr>
        <w:spacing w:line="400" w:lineRule="exact"/>
        <w:ind w:firstLine="480" w:firstLineChars="200"/>
        <w:rPr>
          <w:rFonts w:ascii="宋体" w:hAnsi="宋体"/>
          <w:sz w:val="24"/>
          <w:szCs w:val="24"/>
        </w:rPr>
      </w:pPr>
      <w:r>
        <w:rPr>
          <w:rFonts w:hint="eastAsia" w:ascii="宋体" w:hAnsi="宋体"/>
          <w:sz w:val="24"/>
          <w:szCs w:val="24"/>
        </w:rPr>
        <w:t>4.2海拨高度            =&lt;1000m</w:t>
      </w:r>
    </w:p>
    <w:p>
      <w:pPr>
        <w:spacing w:line="400" w:lineRule="exact"/>
        <w:ind w:firstLine="480" w:firstLineChars="200"/>
        <w:rPr>
          <w:rFonts w:ascii="宋体" w:hAnsi="宋体"/>
          <w:sz w:val="24"/>
          <w:szCs w:val="24"/>
        </w:rPr>
      </w:pPr>
      <w:r>
        <w:rPr>
          <w:rFonts w:hint="eastAsia" w:ascii="宋体" w:hAnsi="宋体"/>
          <w:sz w:val="24"/>
          <w:szCs w:val="24"/>
        </w:rPr>
        <w:t>4.3抗震能力             7级(里氏)</w:t>
      </w:r>
    </w:p>
    <w:p>
      <w:pPr>
        <w:spacing w:line="400" w:lineRule="exact"/>
        <w:ind w:firstLine="480" w:firstLineChars="200"/>
        <w:rPr>
          <w:rFonts w:ascii="宋体" w:hAnsi="宋体"/>
          <w:sz w:val="24"/>
          <w:szCs w:val="24"/>
        </w:rPr>
      </w:pPr>
      <w:r>
        <w:rPr>
          <w:rFonts w:hint="eastAsia" w:ascii="宋体" w:hAnsi="宋体"/>
          <w:sz w:val="24"/>
          <w:szCs w:val="24"/>
        </w:rPr>
        <w:t>4.4最大相对湿度(在25°C时)        90%</w:t>
      </w:r>
    </w:p>
    <w:p>
      <w:pPr>
        <w:spacing w:line="400" w:lineRule="exact"/>
        <w:ind w:firstLine="480" w:firstLineChars="200"/>
        <w:rPr>
          <w:rFonts w:ascii="宋体" w:hAnsi="宋体"/>
          <w:sz w:val="24"/>
          <w:szCs w:val="24"/>
        </w:rPr>
      </w:pPr>
      <w:r>
        <w:rPr>
          <w:rFonts w:hint="eastAsia" w:ascii="宋体" w:hAnsi="宋体"/>
          <w:sz w:val="24"/>
          <w:szCs w:val="24"/>
        </w:rPr>
        <w:t>4.5最大日温差           25°C</w:t>
      </w:r>
    </w:p>
    <w:p>
      <w:pPr>
        <w:spacing w:line="400" w:lineRule="exact"/>
        <w:ind w:firstLine="480" w:firstLineChars="200"/>
        <w:rPr>
          <w:rFonts w:ascii="宋体" w:hAnsi="宋体"/>
          <w:sz w:val="24"/>
          <w:szCs w:val="24"/>
        </w:rPr>
      </w:pPr>
      <w:r>
        <w:rPr>
          <w:rFonts w:hint="eastAsia" w:ascii="宋体" w:hAnsi="宋体"/>
          <w:sz w:val="24"/>
          <w:szCs w:val="24"/>
        </w:rPr>
        <w:t>4.6应考虑日照、污秽、凝露及自然腐蚀的影响。</w:t>
      </w:r>
    </w:p>
    <w:p>
      <w:pPr>
        <w:bidi w:val="0"/>
        <w:rPr>
          <w:rFonts w:hint="eastAsia" w:ascii="宋体" w:hAnsi="宋体" w:eastAsia="宋体" w:cs="宋体"/>
          <w:b/>
          <w:bCs/>
          <w:sz w:val="24"/>
          <w:szCs w:val="24"/>
        </w:rPr>
      </w:pPr>
      <w:bookmarkStart w:id="63" w:name="_Toc31791898"/>
      <w:r>
        <w:rPr>
          <w:rFonts w:hint="eastAsia" w:ascii="宋体" w:hAnsi="宋体" w:eastAsia="宋体" w:cs="宋体"/>
          <w:b/>
          <w:bCs/>
          <w:sz w:val="24"/>
          <w:szCs w:val="24"/>
        </w:rPr>
        <w:t>5、结构和技术要求</w:t>
      </w:r>
      <w:bookmarkEnd w:id="63"/>
    </w:p>
    <w:p>
      <w:pPr>
        <w:spacing w:line="400" w:lineRule="exact"/>
        <w:ind w:firstLine="480" w:firstLineChars="200"/>
        <w:rPr>
          <w:rFonts w:ascii="宋体" w:hAnsi="宋体"/>
          <w:sz w:val="24"/>
          <w:szCs w:val="24"/>
        </w:rPr>
      </w:pPr>
      <w:r>
        <w:rPr>
          <w:rFonts w:hint="eastAsia" w:ascii="宋体" w:hAnsi="宋体"/>
          <w:sz w:val="24"/>
          <w:szCs w:val="24"/>
        </w:rPr>
        <w:t>5.1箱式变外壳的金属材料,应经过防腐处理,表面覆盖层应有牢固的附着力,并应均匀一致。</w:t>
      </w:r>
    </w:p>
    <w:p>
      <w:pPr>
        <w:spacing w:line="400" w:lineRule="exact"/>
        <w:ind w:firstLine="480" w:firstLineChars="200"/>
        <w:rPr>
          <w:rFonts w:ascii="宋体" w:hAnsi="宋体"/>
          <w:sz w:val="24"/>
          <w:szCs w:val="24"/>
        </w:rPr>
      </w:pPr>
      <w:r>
        <w:rPr>
          <w:rFonts w:hint="eastAsia" w:ascii="宋体" w:hAnsi="宋体"/>
          <w:sz w:val="24"/>
          <w:szCs w:val="24"/>
        </w:rPr>
        <w:t>5.2外壳应有足够的机械强度,在起吊、运输和安装时不应变形或损伤。</w:t>
      </w:r>
    </w:p>
    <w:p>
      <w:pPr>
        <w:spacing w:line="400" w:lineRule="exact"/>
        <w:ind w:firstLine="480" w:firstLineChars="200"/>
        <w:rPr>
          <w:rFonts w:ascii="宋体" w:hAnsi="宋体"/>
          <w:sz w:val="24"/>
          <w:szCs w:val="24"/>
        </w:rPr>
      </w:pPr>
      <w:r>
        <w:rPr>
          <w:rFonts w:hint="eastAsia" w:ascii="宋体" w:hAnsi="宋体"/>
          <w:sz w:val="24"/>
          <w:szCs w:val="24"/>
        </w:rPr>
        <w:t>5.3箱体</w:t>
      </w:r>
    </w:p>
    <w:p>
      <w:pPr>
        <w:spacing w:line="400" w:lineRule="exact"/>
        <w:ind w:firstLine="480" w:firstLineChars="200"/>
        <w:rPr>
          <w:rFonts w:ascii="宋体" w:hAnsi="宋体"/>
          <w:sz w:val="24"/>
          <w:szCs w:val="24"/>
        </w:rPr>
      </w:pPr>
      <w:r>
        <w:rPr>
          <w:rFonts w:hint="eastAsia" w:ascii="宋体" w:hAnsi="宋体"/>
          <w:sz w:val="24"/>
          <w:szCs w:val="24"/>
        </w:rPr>
        <w:t>5.3.1箱体宜带操作走廊,其高压柜前应留有不少于900mm的操作空间,低压开关柜前应留有不少于600mm的空间。箱体骨架采用焊接方式。</w:t>
      </w:r>
    </w:p>
    <w:p>
      <w:pPr>
        <w:spacing w:line="400" w:lineRule="exact"/>
        <w:ind w:firstLine="480" w:firstLineChars="200"/>
        <w:rPr>
          <w:rFonts w:ascii="宋体" w:hAnsi="宋体"/>
          <w:sz w:val="24"/>
          <w:szCs w:val="24"/>
        </w:rPr>
      </w:pPr>
      <w:r>
        <w:rPr>
          <w:rFonts w:hint="eastAsia" w:ascii="宋体" w:hAnsi="宋体"/>
          <w:sz w:val="24"/>
          <w:szCs w:val="24"/>
        </w:rPr>
        <w:t>5.3.2高、低压柜室和变压器室应设可自动开闭的充分的照明设施。所有门要向外开,开启角度要大于90°,并设定位装置,门应有密封措施,并装有把手、暗门和能防雨、防堵、防锈的暗锁。</w:t>
      </w:r>
    </w:p>
    <w:p>
      <w:pPr>
        <w:spacing w:line="400" w:lineRule="exact"/>
        <w:ind w:firstLine="480" w:firstLineChars="200"/>
        <w:rPr>
          <w:rFonts w:ascii="宋体" w:hAnsi="宋体"/>
          <w:sz w:val="24"/>
          <w:szCs w:val="24"/>
        </w:rPr>
      </w:pPr>
      <w:r>
        <w:rPr>
          <w:rFonts w:hint="eastAsia" w:ascii="宋体" w:hAnsi="宋体"/>
          <w:sz w:val="24"/>
          <w:szCs w:val="24"/>
        </w:rPr>
        <w:t>5.3.3箱体应设足够的自然通风口和隔热措施,变压器室除自然通风口外,一般还应装设不少于2只容量相当的通风机并随变压器运行温度的变化自动投切,且具有防尘、防小动物、防凝露作用。</w:t>
      </w:r>
    </w:p>
    <w:p>
      <w:pPr>
        <w:bidi w:val="0"/>
        <w:rPr>
          <w:rFonts w:hint="eastAsia" w:ascii="宋体" w:hAnsi="宋体" w:eastAsia="宋体" w:cs="宋体"/>
          <w:b/>
          <w:bCs/>
          <w:sz w:val="24"/>
          <w:szCs w:val="24"/>
        </w:rPr>
      </w:pPr>
      <w:bookmarkStart w:id="64" w:name="_Toc31791899"/>
      <w:r>
        <w:rPr>
          <w:rFonts w:hint="eastAsia" w:ascii="宋体" w:hAnsi="宋体" w:eastAsia="宋体" w:cs="宋体"/>
          <w:b/>
          <w:bCs/>
          <w:sz w:val="24"/>
          <w:szCs w:val="24"/>
        </w:rPr>
        <w:t>6、高压配电装置</w:t>
      </w:r>
      <w:bookmarkEnd w:id="64"/>
    </w:p>
    <w:p>
      <w:pPr>
        <w:spacing w:line="400" w:lineRule="exact"/>
        <w:ind w:firstLine="480" w:firstLineChars="200"/>
        <w:rPr>
          <w:rFonts w:ascii="宋体" w:hAnsi="宋体"/>
          <w:sz w:val="24"/>
          <w:szCs w:val="24"/>
        </w:rPr>
      </w:pPr>
      <w:r>
        <w:rPr>
          <w:rFonts w:hint="eastAsia" w:ascii="宋体" w:hAnsi="宋体"/>
          <w:sz w:val="24"/>
          <w:szCs w:val="24"/>
        </w:rPr>
        <w:t>6.1高压配电装置所用开关柜宜选用加强绝缘型,其技术条件应满足DL404、SD318、GB3906等标准规定。</w:t>
      </w:r>
    </w:p>
    <w:p>
      <w:pPr>
        <w:spacing w:line="400" w:lineRule="exact"/>
        <w:ind w:firstLine="480" w:firstLineChars="200"/>
        <w:rPr>
          <w:rFonts w:ascii="宋体" w:hAnsi="宋体"/>
          <w:sz w:val="24"/>
          <w:szCs w:val="24"/>
        </w:rPr>
      </w:pPr>
      <w:r>
        <w:rPr>
          <w:rFonts w:hint="eastAsia" w:ascii="宋体" w:hAnsi="宋体"/>
          <w:sz w:val="24"/>
          <w:szCs w:val="24"/>
        </w:rPr>
        <w:t>6.2所有电器元件应选用国家正式鉴定的加强绝缘元件,其性能应满足各自相应的国家标准,且完成相应标准规定的各项型式试验。</w:t>
      </w:r>
    </w:p>
    <w:p>
      <w:pPr>
        <w:spacing w:line="400" w:lineRule="exact"/>
        <w:ind w:firstLine="480" w:firstLineChars="200"/>
        <w:rPr>
          <w:rFonts w:ascii="宋体" w:hAnsi="宋体"/>
          <w:sz w:val="24"/>
          <w:szCs w:val="24"/>
        </w:rPr>
      </w:pPr>
      <w:r>
        <w:rPr>
          <w:rFonts w:hint="eastAsia" w:ascii="宋体" w:hAnsi="宋体"/>
          <w:sz w:val="24"/>
          <w:szCs w:val="24"/>
        </w:rPr>
        <w:t>6.3导体相间和对地净距必须符合DL404中的规定,10kV配电装置如采用相间绝缘隔板,其导体与隔板净距不得小于30mm,隔板的沿面爬距不小于150mm。</w:t>
      </w:r>
    </w:p>
    <w:p>
      <w:pPr>
        <w:spacing w:line="400" w:lineRule="exact"/>
        <w:ind w:firstLine="480" w:firstLineChars="200"/>
        <w:rPr>
          <w:rFonts w:ascii="宋体" w:hAnsi="宋体"/>
          <w:sz w:val="24"/>
          <w:szCs w:val="24"/>
        </w:rPr>
      </w:pPr>
      <w:r>
        <w:rPr>
          <w:rFonts w:hint="eastAsia" w:ascii="宋体" w:hAnsi="宋体"/>
          <w:sz w:val="24"/>
          <w:szCs w:val="24"/>
        </w:rPr>
        <w:t>6.4所用闭锁装置应满足SD318的技术要求。</w:t>
      </w:r>
    </w:p>
    <w:p>
      <w:pPr>
        <w:spacing w:line="400" w:lineRule="exact"/>
        <w:ind w:firstLine="480" w:firstLineChars="200"/>
        <w:rPr>
          <w:rFonts w:ascii="宋体" w:hAnsi="宋体"/>
          <w:sz w:val="24"/>
          <w:szCs w:val="24"/>
        </w:rPr>
      </w:pPr>
      <w:r>
        <w:rPr>
          <w:rFonts w:hint="eastAsia" w:ascii="宋体" w:hAnsi="宋体"/>
          <w:sz w:val="24"/>
          <w:szCs w:val="24"/>
        </w:rPr>
        <w:t>6.5高压母线和连线应有相别标注，其结合部位应采用支持绝缘子固定。</w:t>
      </w:r>
    </w:p>
    <w:p>
      <w:pPr>
        <w:spacing w:line="400" w:lineRule="exact"/>
        <w:ind w:firstLine="480" w:firstLineChars="200"/>
        <w:rPr>
          <w:rFonts w:ascii="宋体" w:hAnsi="宋体"/>
          <w:sz w:val="24"/>
          <w:szCs w:val="24"/>
        </w:rPr>
      </w:pPr>
      <w:r>
        <w:rPr>
          <w:rFonts w:hint="eastAsia" w:ascii="宋体" w:hAnsi="宋体"/>
          <w:sz w:val="24"/>
          <w:szCs w:val="24"/>
        </w:rPr>
        <w:t>6.6高压室门的内侧应标出主回路电路图，且标明操作程序和注意事项，信号灯及仪表装置应易于观察和安全地更换。观察窗应采用6mm以上厚度的高强度钢丝玻璃板，其位置应便于巡视。</w:t>
      </w:r>
    </w:p>
    <w:p>
      <w:pPr>
        <w:spacing w:line="400" w:lineRule="exact"/>
        <w:ind w:firstLine="480" w:firstLineChars="200"/>
        <w:rPr>
          <w:rFonts w:ascii="宋体" w:hAnsi="宋体"/>
          <w:sz w:val="24"/>
          <w:szCs w:val="24"/>
        </w:rPr>
      </w:pPr>
      <w:r>
        <w:rPr>
          <w:rFonts w:hint="eastAsia" w:ascii="宋体" w:hAnsi="宋体"/>
          <w:sz w:val="24"/>
          <w:szCs w:val="24"/>
        </w:rPr>
        <w:t>6.7高压带电显示器的安装位置便于观察。</w:t>
      </w:r>
    </w:p>
    <w:p>
      <w:pPr>
        <w:bidi w:val="0"/>
        <w:rPr>
          <w:rFonts w:hint="eastAsia" w:ascii="宋体" w:hAnsi="宋体" w:eastAsia="宋体" w:cs="宋体"/>
          <w:b/>
          <w:bCs/>
          <w:sz w:val="24"/>
          <w:szCs w:val="24"/>
        </w:rPr>
      </w:pPr>
      <w:bookmarkStart w:id="65" w:name="_Toc31791900"/>
      <w:r>
        <w:rPr>
          <w:rFonts w:hint="eastAsia" w:ascii="宋体" w:hAnsi="宋体" w:eastAsia="宋体" w:cs="宋体"/>
          <w:b/>
          <w:bCs/>
          <w:sz w:val="24"/>
          <w:szCs w:val="24"/>
        </w:rPr>
        <w:t>7、变压器</w:t>
      </w:r>
      <w:bookmarkEnd w:id="65"/>
    </w:p>
    <w:p>
      <w:pPr>
        <w:spacing w:line="400" w:lineRule="exact"/>
        <w:ind w:firstLine="480" w:firstLineChars="200"/>
        <w:rPr>
          <w:rFonts w:ascii="宋体" w:hAnsi="宋体"/>
          <w:sz w:val="24"/>
          <w:szCs w:val="24"/>
        </w:rPr>
      </w:pPr>
      <w:r>
        <w:rPr>
          <w:rFonts w:hint="eastAsia" w:ascii="宋体" w:hAnsi="宋体"/>
          <w:sz w:val="24"/>
          <w:szCs w:val="24"/>
        </w:rPr>
        <w:t>7.1变压器应设安装滚轮,基座上应设轨道,铭牌应尽可能面向箱门。</w:t>
      </w:r>
    </w:p>
    <w:p>
      <w:pPr>
        <w:spacing w:line="400" w:lineRule="exact"/>
        <w:ind w:firstLine="480" w:firstLineChars="200"/>
        <w:rPr>
          <w:rFonts w:ascii="宋体" w:hAnsi="宋体"/>
          <w:sz w:val="24"/>
          <w:szCs w:val="24"/>
        </w:rPr>
      </w:pPr>
      <w:r>
        <w:rPr>
          <w:rFonts w:hint="eastAsia" w:ascii="宋体" w:hAnsi="宋体"/>
          <w:sz w:val="24"/>
          <w:szCs w:val="24"/>
        </w:rPr>
        <w:t>7.2 变压器应装设带有电接点温度监测装置。</w:t>
      </w:r>
    </w:p>
    <w:p>
      <w:pPr>
        <w:spacing w:line="400" w:lineRule="exact"/>
        <w:ind w:firstLine="480" w:firstLineChars="200"/>
        <w:rPr>
          <w:rFonts w:ascii="宋体" w:hAnsi="宋体"/>
          <w:sz w:val="24"/>
          <w:szCs w:val="24"/>
        </w:rPr>
      </w:pPr>
      <w:r>
        <w:rPr>
          <w:rFonts w:hint="eastAsia" w:ascii="宋体" w:hAnsi="宋体"/>
          <w:sz w:val="24"/>
          <w:szCs w:val="24"/>
        </w:rPr>
        <w:t>7.3与变压器相连的高、低压连线宜采用绝缘线，其截面积应满足额定电流和热稳定电流的要求，其固定方式要满足动稳定电流的要求，变压器端子上宜设绝缘保护罩。</w:t>
      </w:r>
    </w:p>
    <w:p>
      <w:pPr>
        <w:spacing w:line="400" w:lineRule="exact"/>
        <w:ind w:firstLine="480" w:firstLineChars="200"/>
        <w:rPr>
          <w:rFonts w:ascii="宋体" w:hAnsi="宋体"/>
          <w:sz w:val="24"/>
          <w:szCs w:val="24"/>
        </w:rPr>
      </w:pPr>
      <w:r>
        <w:rPr>
          <w:rFonts w:hint="eastAsia" w:ascii="宋体" w:hAnsi="宋体"/>
          <w:sz w:val="24"/>
          <w:szCs w:val="24"/>
        </w:rPr>
        <w:t>7.4变压器室应根据高压配电装置设计规程的要求装设可靠的安全防护网或遮栏，并设闭锁装置。</w:t>
      </w:r>
    </w:p>
    <w:p>
      <w:pPr>
        <w:bidi w:val="0"/>
        <w:rPr>
          <w:rFonts w:hint="eastAsia" w:ascii="宋体" w:hAnsi="宋体" w:eastAsia="宋体" w:cs="宋体"/>
          <w:b/>
          <w:bCs/>
          <w:sz w:val="24"/>
          <w:szCs w:val="24"/>
        </w:rPr>
      </w:pPr>
      <w:bookmarkStart w:id="66" w:name="_Toc31791901"/>
      <w:r>
        <w:rPr>
          <w:rFonts w:hint="eastAsia" w:ascii="宋体" w:hAnsi="宋体" w:eastAsia="宋体" w:cs="宋体"/>
          <w:b/>
          <w:bCs/>
          <w:sz w:val="24"/>
          <w:szCs w:val="24"/>
        </w:rPr>
        <w:t>8、低压配电装置</w:t>
      </w:r>
      <w:bookmarkEnd w:id="66"/>
    </w:p>
    <w:p>
      <w:pPr>
        <w:spacing w:line="400" w:lineRule="exact"/>
        <w:ind w:firstLine="480" w:firstLineChars="200"/>
        <w:rPr>
          <w:rFonts w:ascii="宋体" w:hAnsi="宋体"/>
          <w:sz w:val="24"/>
          <w:szCs w:val="24"/>
        </w:rPr>
      </w:pPr>
      <w:r>
        <w:rPr>
          <w:rFonts w:hint="eastAsia" w:ascii="宋体" w:hAnsi="宋体"/>
          <w:sz w:val="24"/>
          <w:szCs w:val="24"/>
        </w:rPr>
        <w:t>低压配电装置必须遵照DL/T537国家电力行业标准中第7.5项之规定。必须是通过国家正式鉴定的定型产品。</w:t>
      </w:r>
    </w:p>
    <w:p>
      <w:pPr>
        <w:bidi w:val="0"/>
        <w:rPr>
          <w:rFonts w:hint="eastAsia" w:ascii="宋体" w:hAnsi="宋体" w:eastAsia="宋体" w:cs="宋体"/>
          <w:b/>
          <w:bCs/>
          <w:sz w:val="24"/>
          <w:szCs w:val="24"/>
        </w:rPr>
      </w:pPr>
      <w:bookmarkStart w:id="67" w:name="_Toc31791902"/>
      <w:r>
        <w:rPr>
          <w:rFonts w:hint="eastAsia" w:ascii="宋体" w:hAnsi="宋体" w:eastAsia="宋体" w:cs="宋体"/>
          <w:b/>
          <w:bCs/>
          <w:sz w:val="24"/>
          <w:szCs w:val="24"/>
        </w:rPr>
        <w:t>9、箱式变型式、出厂试验、包装、保管、运输、标志必须符合DL/T537之规定。</w:t>
      </w:r>
      <w:bookmarkEnd w:id="67"/>
    </w:p>
    <w:p>
      <w:pPr>
        <w:bidi w:val="0"/>
        <w:rPr>
          <w:rFonts w:hint="eastAsia" w:ascii="宋体" w:hAnsi="宋体" w:eastAsia="宋体" w:cs="宋体"/>
          <w:b/>
          <w:bCs/>
          <w:sz w:val="24"/>
          <w:szCs w:val="24"/>
        </w:rPr>
      </w:pPr>
      <w:bookmarkStart w:id="68" w:name="_Toc31791903"/>
      <w:r>
        <w:rPr>
          <w:rFonts w:hint="eastAsia" w:ascii="宋体" w:hAnsi="宋体" w:eastAsia="宋体" w:cs="宋体"/>
          <w:b/>
          <w:bCs/>
          <w:sz w:val="24"/>
          <w:szCs w:val="24"/>
        </w:rPr>
        <w:t>10、特殊说明：</w:t>
      </w:r>
      <w:bookmarkEnd w:id="68"/>
    </w:p>
    <w:p>
      <w:pPr>
        <w:spacing w:line="400" w:lineRule="exact"/>
        <w:ind w:firstLine="480" w:firstLineChars="200"/>
        <w:rPr>
          <w:rFonts w:ascii="宋体" w:hAnsi="宋体"/>
          <w:sz w:val="24"/>
          <w:szCs w:val="24"/>
        </w:rPr>
      </w:pPr>
      <w:r>
        <w:rPr>
          <w:rFonts w:hint="eastAsia" w:ascii="宋体" w:hAnsi="宋体"/>
          <w:sz w:val="24"/>
          <w:szCs w:val="24"/>
        </w:rPr>
        <w:t xml:space="preserve">    闸门现地RTU装置及相应交换机布置在箱式变电站内，箱式变电站厂家应考虑预留位置并预留布线通道。</w:t>
      </w:r>
    </w:p>
    <w:p>
      <w:pPr>
        <w:bidi w:val="0"/>
        <w:rPr>
          <w:rFonts w:hint="eastAsia" w:ascii="宋体" w:hAnsi="宋体" w:eastAsia="宋体" w:cs="宋体"/>
          <w:b/>
          <w:bCs/>
          <w:sz w:val="24"/>
          <w:szCs w:val="24"/>
        </w:rPr>
      </w:pPr>
      <w:bookmarkStart w:id="69" w:name="_Toc31791904"/>
      <w:r>
        <w:rPr>
          <w:rFonts w:hint="eastAsia" w:ascii="宋体" w:hAnsi="宋体" w:eastAsia="宋体" w:cs="宋体"/>
          <w:b/>
          <w:bCs/>
          <w:sz w:val="24"/>
          <w:szCs w:val="24"/>
        </w:rPr>
        <w:t>11、供货范围</w:t>
      </w:r>
      <w:bookmarkEnd w:id="69"/>
    </w:p>
    <w:p>
      <w:pPr>
        <w:spacing w:line="400" w:lineRule="exact"/>
        <w:ind w:firstLine="480" w:firstLineChars="200"/>
        <w:rPr>
          <w:rFonts w:ascii="宋体" w:hAnsi="宋体"/>
          <w:sz w:val="24"/>
          <w:szCs w:val="24"/>
        </w:rPr>
      </w:pPr>
      <w:r>
        <w:rPr>
          <w:rFonts w:hint="eastAsia" w:ascii="宋体" w:hAnsi="宋体"/>
          <w:sz w:val="24"/>
          <w:szCs w:val="24"/>
        </w:rPr>
        <w:t>见货物需求一览表，具体技术参数及箱式变的配置方式详见箱式变电站部分电气接线图，此接线图仅供投标报价用，厂家制造时必须以施工图为准。</w:t>
      </w:r>
    </w:p>
    <w:tbl>
      <w:tblPr>
        <w:tblStyle w:val="68"/>
        <w:tblW w:w="9555" w:type="dxa"/>
        <w:tblInd w:w="93" w:type="dxa"/>
        <w:tblLayout w:type="fixed"/>
        <w:tblCellMar>
          <w:top w:w="0" w:type="dxa"/>
          <w:left w:w="108" w:type="dxa"/>
          <w:bottom w:w="0" w:type="dxa"/>
          <w:right w:w="108" w:type="dxa"/>
        </w:tblCellMar>
      </w:tblPr>
      <w:tblGrid>
        <w:gridCol w:w="724"/>
        <w:gridCol w:w="731"/>
        <w:gridCol w:w="2340"/>
        <w:gridCol w:w="3240"/>
        <w:gridCol w:w="720"/>
        <w:gridCol w:w="720"/>
        <w:gridCol w:w="1080"/>
      </w:tblGrid>
      <w:tr>
        <w:tblPrEx>
          <w:tblCellMar>
            <w:top w:w="0" w:type="dxa"/>
            <w:left w:w="108" w:type="dxa"/>
            <w:bottom w:w="0" w:type="dxa"/>
            <w:right w:w="108" w:type="dxa"/>
          </w:tblCellMar>
        </w:tblPrEx>
        <w:trPr>
          <w:trHeight w:val="360" w:hRule="atLeast"/>
        </w:trPr>
        <w:tc>
          <w:tcPr>
            <w:tcW w:w="9555" w:type="dxa"/>
            <w:gridSpan w:val="7"/>
            <w:tcBorders>
              <w:top w:val="nil"/>
              <w:left w:val="nil"/>
              <w:bottom w:val="single" w:color="auto" w:sz="4" w:space="0"/>
              <w:right w:val="nil"/>
            </w:tcBorders>
            <w:vAlign w:val="center"/>
          </w:tcPr>
          <w:p>
            <w:pPr>
              <w:rPr>
                <w:rFonts w:ascii="宋体" w:hAnsi="宋体" w:cs="宋体"/>
                <w:kern w:val="0"/>
                <w:sz w:val="24"/>
              </w:rPr>
            </w:pPr>
            <w:r>
              <w:rPr>
                <w:rFonts w:hint="eastAsia" w:ascii="宋体" w:hAnsi="宋体" w:cs="宋体"/>
                <w:kern w:val="0"/>
                <w:sz w:val="24"/>
              </w:rPr>
              <w:t>表1</w:t>
            </w:r>
            <w:r>
              <w:rPr>
                <w:rFonts w:hint="eastAsia" w:ascii="宋体" w:hAnsi="宋体" w:cs="宋体"/>
                <w:b/>
                <w:kern w:val="0"/>
                <w:sz w:val="24"/>
              </w:rPr>
              <w:t xml:space="preserve">       大安片2016年施工渠系闸门箱变货物需求一览表</w:t>
            </w:r>
          </w:p>
        </w:tc>
      </w:tr>
      <w:tr>
        <w:tblPrEx>
          <w:tblCellMar>
            <w:top w:w="0" w:type="dxa"/>
            <w:left w:w="108" w:type="dxa"/>
            <w:bottom w:w="0" w:type="dxa"/>
            <w:right w:w="108" w:type="dxa"/>
          </w:tblCellMar>
        </w:tblPrEx>
        <w:trPr>
          <w:trHeight w:val="390" w:hRule="atLeast"/>
        </w:trPr>
        <w:tc>
          <w:tcPr>
            <w:tcW w:w="724"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Cs w:val="21"/>
              </w:rPr>
            </w:pPr>
            <w:r>
              <w:rPr>
                <w:rFonts w:hint="eastAsia" w:ascii="宋体" w:hAnsi="宋体" w:cs="宋体"/>
                <w:kern w:val="0"/>
                <w:szCs w:val="21"/>
              </w:rPr>
              <w:t>序号</w:t>
            </w:r>
          </w:p>
        </w:tc>
        <w:tc>
          <w:tcPr>
            <w:tcW w:w="731"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Cs w:val="21"/>
              </w:rPr>
            </w:pPr>
            <w:r>
              <w:rPr>
                <w:rFonts w:hint="eastAsia" w:ascii="宋体" w:hAnsi="宋体" w:cs="宋体"/>
                <w:kern w:val="0"/>
                <w:szCs w:val="21"/>
              </w:rPr>
              <w:t>种类代号</w:t>
            </w:r>
          </w:p>
        </w:tc>
        <w:tc>
          <w:tcPr>
            <w:tcW w:w="2340"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Cs w:val="21"/>
              </w:rPr>
            </w:pPr>
            <w:r>
              <w:rPr>
                <w:rFonts w:hint="eastAsia" w:ascii="宋体" w:hAnsi="宋体" w:cs="宋体"/>
                <w:kern w:val="0"/>
                <w:szCs w:val="21"/>
              </w:rPr>
              <w:t>名    称</w:t>
            </w:r>
          </w:p>
        </w:tc>
        <w:tc>
          <w:tcPr>
            <w:tcW w:w="3240"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Cs w:val="21"/>
              </w:rPr>
            </w:pPr>
            <w:r>
              <w:rPr>
                <w:rFonts w:hint="eastAsia" w:ascii="宋体" w:hAnsi="宋体" w:cs="宋体"/>
                <w:kern w:val="0"/>
                <w:szCs w:val="21"/>
              </w:rPr>
              <w:t>型号及规格</w:t>
            </w:r>
          </w:p>
        </w:tc>
        <w:tc>
          <w:tcPr>
            <w:tcW w:w="720"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Cs w:val="21"/>
              </w:rPr>
            </w:pPr>
            <w:r>
              <w:rPr>
                <w:rFonts w:hint="eastAsia" w:ascii="宋体" w:hAnsi="宋体" w:cs="宋体"/>
                <w:kern w:val="0"/>
                <w:szCs w:val="21"/>
              </w:rPr>
              <w:t>单位</w:t>
            </w:r>
          </w:p>
        </w:tc>
        <w:tc>
          <w:tcPr>
            <w:tcW w:w="720"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Cs w:val="21"/>
              </w:rPr>
            </w:pPr>
            <w:r>
              <w:rPr>
                <w:rFonts w:hint="eastAsia" w:ascii="宋体" w:hAnsi="宋体" w:cs="宋体"/>
                <w:kern w:val="0"/>
                <w:szCs w:val="21"/>
              </w:rPr>
              <w:t>数量</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Cs w:val="21"/>
              </w:rPr>
            </w:pPr>
            <w:r>
              <w:rPr>
                <w:rFonts w:hint="eastAsia" w:ascii="宋体" w:hAnsi="宋体" w:cs="宋体"/>
                <w:kern w:val="0"/>
                <w:szCs w:val="21"/>
              </w:rPr>
              <w:t>备注</w:t>
            </w:r>
          </w:p>
        </w:tc>
      </w:tr>
      <w:tr>
        <w:tblPrEx>
          <w:tblCellMar>
            <w:top w:w="0" w:type="dxa"/>
            <w:left w:w="108" w:type="dxa"/>
            <w:bottom w:w="0" w:type="dxa"/>
            <w:right w:w="108" w:type="dxa"/>
          </w:tblCellMar>
        </w:tblPrEx>
        <w:trPr>
          <w:trHeight w:val="390" w:hRule="atLeast"/>
        </w:trPr>
        <w:tc>
          <w:tcPr>
            <w:tcW w:w="72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cs="宋体"/>
                <w:kern w:val="0"/>
                <w:szCs w:val="21"/>
              </w:rPr>
            </w:pPr>
          </w:p>
        </w:tc>
        <w:tc>
          <w:tcPr>
            <w:tcW w:w="731"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cs="宋体"/>
                <w:kern w:val="0"/>
                <w:szCs w:val="21"/>
              </w:rPr>
            </w:pPr>
          </w:p>
        </w:tc>
        <w:tc>
          <w:tcPr>
            <w:tcW w:w="234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cs="宋体"/>
                <w:kern w:val="0"/>
                <w:szCs w:val="21"/>
              </w:rPr>
            </w:pPr>
          </w:p>
        </w:tc>
        <w:tc>
          <w:tcPr>
            <w:tcW w:w="324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cs="宋体"/>
                <w:kern w:val="0"/>
                <w:szCs w:val="21"/>
              </w:rPr>
            </w:pPr>
          </w:p>
        </w:tc>
        <w:tc>
          <w:tcPr>
            <w:tcW w:w="72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cs="宋体"/>
                <w:kern w:val="0"/>
                <w:szCs w:val="21"/>
              </w:rPr>
            </w:pPr>
          </w:p>
        </w:tc>
        <w:tc>
          <w:tcPr>
            <w:tcW w:w="72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cs="宋体"/>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cs="宋体"/>
                <w:kern w:val="0"/>
                <w:szCs w:val="21"/>
              </w:rPr>
            </w:pPr>
          </w:p>
        </w:tc>
      </w:tr>
      <w:tr>
        <w:tblPrEx>
          <w:tblCellMar>
            <w:top w:w="0" w:type="dxa"/>
            <w:left w:w="108" w:type="dxa"/>
            <w:bottom w:w="0" w:type="dxa"/>
            <w:right w:w="108" w:type="dxa"/>
          </w:tblCellMar>
        </w:tblPrEx>
        <w:trPr>
          <w:trHeight w:val="390" w:hRule="atLeast"/>
        </w:trPr>
        <w:tc>
          <w:tcPr>
            <w:tcW w:w="724" w:type="dxa"/>
            <w:tcBorders>
              <w:top w:val="nil"/>
              <w:left w:val="single" w:color="auto" w:sz="4" w:space="0"/>
              <w:bottom w:val="single" w:color="auto" w:sz="4" w:space="0"/>
              <w:right w:val="single" w:color="auto" w:sz="4" w:space="0"/>
            </w:tcBorders>
            <w:vAlign w:val="center"/>
          </w:tcPr>
          <w:p>
            <w:pPr>
              <w:ind w:firstLine="105" w:firstLineChars="50"/>
              <w:jc w:val="center"/>
              <w:rPr>
                <w:rFonts w:ascii="宋体" w:hAnsi="宋体" w:cs="宋体"/>
                <w:kern w:val="0"/>
                <w:szCs w:val="21"/>
              </w:rPr>
            </w:pPr>
            <w:r>
              <w:rPr>
                <w:rFonts w:hint="eastAsia" w:ascii="宋体" w:hAnsi="宋体" w:cs="宋体"/>
                <w:kern w:val="0"/>
                <w:szCs w:val="21"/>
              </w:rPr>
              <w:t>1</w:t>
            </w:r>
          </w:p>
        </w:tc>
        <w:tc>
          <w:tcPr>
            <w:tcW w:w="731" w:type="dxa"/>
            <w:tcBorders>
              <w:top w:val="nil"/>
              <w:left w:val="nil"/>
              <w:bottom w:val="single" w:color="auto" w:sz="4" w:space="0"/>
              <w:right w:val="single" w:color="auto" w:sz="4" w:space="0"/>
            </w:tcBorders>
            <w:vAlign w:val="center"/>
          </w:tcPr>
          <w:p>
            <w:pPr>
              <w:jc w:val="center"/>
              <w:rPr>
                <w:rFonts w:ascii="宋体" w:hAnsi="宋体" w:cs="宋体"/>
                <w:kern w:val="0"/>
                <w:szCs w:val="21"/>
              </w:rPr>
            </w:pPr>
          </w:p>
        </w:tc>
        <w:tc>
          <w:tcPr>
            <w:tcW w:w="2340" w:type="dxa"/>
            <w:tcBorders>
              <w:top w:val="nil"/>
              <w:left w:val="nil"/>
              <w:bottom w:val="single" w:color="auto" w:sz="4" w:space="0"/>
              <w:right w:val="single" w:color="auto" w:sz="4" w:space="0"/>
            </w:tcBorders>
            <w:vAlign w:val="center"/>
          </w:tcPr>
          <w:p>
            <w:pPr>
              <w:jc w:val="center"/>
              <w:rPr>
                <w:rFonts w:ascii="宋体" w:hAnsi="宋体" w:cs="宋体"/>
                <w:kern w:val="0"/>
                <w:szCs w:val="21"/>
              </w:rPr>
            </w:pPr>
            <w:r>
              <w:rPr>
                <w:rFonts w:hint="eastAsia" w:ascii="宋体" w:hAnsi="宋体" w:cs="宋体"/>
                <w:kern w:val="0"/>
                <w:szCs w:val="21"/>
              </w:rPr>
              <w:t>30kVA箱式变电站</w:t>
            </w:r>
          </w:p>
        </w:tc>
        <w:tc>
          <w:tcPr>
            <w:tcW w:w="3240" w:type="dxa"/>
            <w:tcBorders>
              <w:top w:val="nil"/>
              <w:left w:val="nil"/>
              <w:bottom w:val="single" w:color="auto" w:sz="4" w:space="0"/>
              <w:right w:val="single" w:color="auto" w:sz="4" w:space="0"/>
            </w:tcBorders>
            <w:vAlign w:val="center"/>
          </w:tcPr>
          <w:p>
            <w:pPr>
              <w:jc w:val="center"/>
              <w:rPr>
                <w:rFonts w:ascii="宋体" w:hAnsi="宋体" w:cs="宋体"/>
                <w:kern w:val="0"/>
                <w:szCs w:val="21"/>
              </w:rPr>
            </w:pPr>
          </w:p>
        </w:tc>
        <w:tc>
          <w:tcPr>
            <w:tcW w:w="720" w:type="dxa"/>
            <w:tcBorders>
              <w:top w:val="nil"/>
              <w:left w:val="nil"/>
              <w:bottom w:val="single" w:color="auto" w:sz="4" w:space="0"/>
              <w:right w:val="single" w:color="auto" w:sz="4" w:space="0"/>
            </w:tcBorders>
            <w:vAlign w:val="center"/>
          </w:tcPr>
          <w:p>
            <w:pPr>
              <w:jc w:val="center"/>
              <w:rPr>
                <w:rFonts w:ascii="宋体" w:hAnsi="宋体" w:cs="宋体"/>
                <w:kern w:val="0"/>
                <w:szCs w:val="21"/>
              </w:rPr>
            </w:pPr>
            <w:r>
              <w:rPr>
                <w:rFonts w:hint="eastAsia" w:ascii="宋体" w:hAnsi="宋体" w:cs="宋体"/>
                <w:kern w:val="0"/>
                <w:szCs w:val="21"/>
              </w:rPr>
              <w:t>座</w:t>
            </w:r>
          </w:p>
        </w:tc>
        <w:tc>
          <w:tcPr>
            <w:tcW w:w="720" w:type="dxa"/>
            <w:tcBorders>
              <w:top w:val="nil"/>
              <w:left w:val="nil"/>
              <w:bottom w:val="single" w:color="auto" w:sz="4" w:space="0"/>
              <w:right w:val="single" w:color="auto" w:sz="4" w:space="0"/>
            </w:tcBorders>
            <w:vAlign w:val="center"/>
          </w:tcPr>
          <w:p>
            <w:pPr>
              <w:jc w:val="center"/>
              <w:rPr>
                <w:rFonts w:ascii="宋体" w:hAnsi="宋体" w:cs="宋体"/>
                <w:kern w:val="0"/>
                <w:szCs w:val="21"/>
              </w:rPr>
            </w:pPr>
            <w:r>
              <w:rPr>
                <w:rFonts w:hint="eastAsia" w:ascii="宋体" w:hAnsi="宋体" w:cs="宋体"/>
                <w:kern w:val="0"/>
                <w:szCs w:val="21"/>
              </w:rPr>
              <w:t>8</w:t>
            </w:r>
          </w:p>
        </w:tc>
        <w:tc>
          <w:tcPr>
            <w:tcW w:w="1080" w:type="dxa"/>
            <w:tcBorders>
              <w:top w:val="nil"/>
              <w:left w:val="nil"/>
              <w:bottom w:val="single" w:color="auto" w:sz="4" w:space="0"/>
              <w:right w:val="single" w:color="auto" w:sz="4" w:space="0"/>
            </w:tcBorders>
            <w:vAlign w:val="center"/>
          </w:tcPr>
          <w:p>
            <w:pPr>
              <w:jc w:val="center"/>
              <w:rPr>
                <w:rFonts w:ascii="宋体" w:hAnsi="宋体" w:cs="宋体"/>
                <w:kern w:val="0"/>
                <w:szCs w:val="21"/>
              </w:rPr>
            </w:pPr>
          </w:p>
        </w:tc>
      </w:tr>
      <w:tr>
        <w:tblPrEx>
          <w:tblCellMar>
            <w:top w:w="0" w:type="dxa"/>
            <w:left w:w="108" w:type="dxa"/>
            <w:bottom w:w="0" w:type="dxa"/>
            <w:right w:w="108" w:type="dxa"/>
          </w:tblCellMar>
        </w:tblPrEx>
        <w:trPr>
          <w:trHeight w:val="390" w:hRule="atLeast"/>
        </w:trPr>
        <w:tc>
          <w:tcPr>
            <w:tcW w:w="724" w:type="dxa"/>
            <w:tcBorders>
              <w:top w:val="nil"/>
              <w:left w:val="single" w:color="auto" w:sz="4" w:space="0"/>
              <w:bottom w:val="single" w:color="auto" w:sz="4" w:space="0"/>
              <w:right w:val="single" w:color="auto" w:sz="4" w:space="0"/>
            </w:tcBorders>
            <w:vAlign w:val="center"/>
          </w:tcPr>
          <w:p>
            <w:pPr>
              <w:jc w:val="center"/>
              <w:rPr>
                <w:rFonts w:ascii="宋体" w:hAnsi="宋体" w:cs="宋体"/>
                <w:kern w:val="0"/>
                <w:szCs w:val="21"/>
              </w:rPr>
            </w:pPr>
            <w:r>
              <w:rPr>
                <w:rFonts w:hint="eastAsia" w:ascii="宋体" w:hAnsi="宋体" w:cs="宋体"/>
                <w:kern w:val="0"/>
                <w:szCs w:val="21"/>
              </w:rPr>
              <w:t>1-1</w:t>
            </w:r>
          </w:p>
        </w:tc>
        <w:tc>
          <w:tcPr>
            <w:tcW w:w="731" w:type="dxa"/>
            <w:tcBorders>
              <w:top w:val="nil"/>
              <w:left w:val="nil"/>
              <w:bottom w:val="single" w:color="auto" w:sz="4" w:space="0"/>
              <w:right w:val="single" w:color="auto" w:sz="4" w:space="0"/>
            </w:tcBorders>
            <w:vAlign w:val="center"/>
          </w:tcPr>
          <w:p>
            <w:pPr>
              <w:jc w:val="center"/>
              <w:rPr>
                <w:rFonts w:ascii="宋体" w:hAnsi="宋体" w:cs="宋体"/>
                <w:kern w:val="0"/>
                <w:szCs w:val="21"/>
              </w:rPr>
            </w:pPr>
          </w:p>
        </w:tc>
        <w:tc>
          <w:tcPr>
            <w:tcW w:w="2340" w:type="dxa"/>
            <w:tcBorders>
              <w:top w:val="nil"/>
              <w:left w:val="nil"/>
              <w:bottom w:val="single" w:color="auto" w:sz="4" w:space="0"/>
              <w:right w:val="single" w:color="auto" w:sz="4" w:space="0"/>
            </w:tcBorders>
            <w:vAlign w:val="center"/>
          </w:tcPr>
          <w:p>
            <w:pPr>
              <w:jc w:val="center"/>
              <w:rPr>
                <w:rFonts w:ascii="宋体" w:hAnsi="宋体" w:cs="宋体"/>
                <w:kern w:val="0"/>
                <w:szCs w:val="21"/>
              </w:rPr>
            </w:pPr>
            <w:r>
              <w:rPr>
                <w:rFonts w:hint="eastAsia" w:ascii="宋体" w:hAnsi="宋体" w:cs="宋体"/>
                <w:kern w:val="0"/>
                <w:szCs w:val="21"/>
              </w:rPr>
              <w:t>变压器</w:t>
            </w:r>
          </w:p>
        </w:tc>
        <w:tc>
          <w:tcPr>
            <w:tcW w:w="3240" w:type="dxa"/>
            <w:tcBorders>
              <w:top w:val="nil"/>
              <w:left w:val="nil"/>
              <w:bottom w:val="single" w:color="auto" w:sz="4" w:space="0"/>
              <w:right w:val="single" w:color="auto" w:sz="4" w:space="0"/>
            </w:tcBorders>
            <w:vAlign w:val="center"/>
          </w:tcPr>
          <w:p>
            <w:pPr>
              <w:jc w:val="center"/>
              <w:rPr>
                <w:rFonts w:ascii="宋体" w:hAnsi="宋体" w:cs="宋体"/>
                <w:kern w:val="0"/>
                <w:szCs w:val="21"/>
              </w:rPr>
            </w:pPr>
            <w:r>
              <w:rPr>
                <w:rFonts w:hint="eastAsia" w:ascii="宋体" w:hAnsi="宋体" w:cs="宋体"/>
                <w:kern w:val="0"/>
                <w:szCs w:val="21"/>
              </w:rPr>
              <w:t>S13-30kVA/10kV-10/0.4kV</w:t>
            </w:r>
          </w:p>
        </w:tc>
        <w:tc>
          <w:tcPr>
            <w:tcW w:w="720" w:type="dxa"/>
            <w:tcBorders>
              <w:top w:val="nil"/>
              <w:left w:val="nil"/>
              <w:bottom w:val="single" w:color="auto" w:sz="4" w:space="0"/>
              <w:right w:val="single" w:color="auto" w:sz="4" w:space="0"/>
            </w:tcBorders>
            <w:vAlign w:val="center"/>
          </w:tcPr>
          <w:p>
            <w:pPr>
              <w:jc w:val="center"/>
              <w:rPr>
                <w:rFonts w:ascii="宋体" w:hAnsi="宋体" w:cs="宋体"/>
                <w:kern w:val="0"/>
                <w:szCs w:val="21"/>
              </w:rPr>
            </w:pPr>
            <w:r>
              <w:rPr>
                <w:rFonts w:hint="eastAsia" w:ascii="宋体" w:hAnsi="宋体" w:cs="宋体"/>
                <w:kern w:val="0"/>
                <w:szCs w:val="21"/>
              </w:rPr>
              <w:t>台</w:t>
            </w:r>
          </w:p>
        </w:tc>
        <w:tc>
          <w:tcPr>
            <w:tcW w:w="720" w:type="dxa"/>
            <w:tcBorders>
              <w:top w:val="nil"/>
              <w:left w:val="nil"/>
              <w:bottom w:val="single" w:color="auto" w:sz="4" w:space="0"/>
              <w:right w:val="single" w:color="auto" w:sz="4" w:space="0"/>
            </w:tcBorders>
            <w:vAlign w:val="center"/>
          </w:tcPr>
          <w:p>
            <w:pPr>
              <w:jc w:val="center"/>
              <w:rPr>
                <w:rFonts w:ascii="宋体" w:hAnsi="宋体" w:cs="宋体"/>
                <w:kern w:val="0"/>
                <w:szCs w:val="21"/>
              </w:rPr>
            </w:pPr>
            <w:r>
              <w:rPr>
                <w:rFonts w:hint="eastAsia" w:ascii="宋体" w:hAnsi="宋体" w:cs="宋体"/>
                <w:kern w:val="0"/>
                <w:szCs w:val="21"/>
              </w:rPr>
              <w:t>8</w:t>
            </w:r>
          </w:p>
        </w:tc>
        <w:tc>
          <w:tcPr>
            <w:tcW w:w="1080" w:type="dxa"/>
            <w:tcBorders>
              <w:top w:val="nil"/>
              <w:left w:val="nil"/>
              <w:bottom w:val="single" w:color="auto" w:sz="4" w:space="0"/>
              <w:right w:val="single" w:color="auto" w:sz="4" w:space="0"/>
            </w:tcBorders>
            <w:vAlign w:val="center"/>
          </w:tcPr>
          <w:p>
            <w:pPr>
              <w:jc w:val="center"/>
              <w:rPr>
                <w:rFonts w:ascii="宋体" w:hAnsi="宋体" w:cs="宋体"/>
                <w:kern w:val="0"/>
                <w:szCs w:val="21"/>
              </w:rPr>
            </w:pPr>
          </w:p>
        </w:tc>
      </w:tr>
      <w:tr>
        <w:tblPrEx>
          <w:tblCellMar>
            <w:top w:w="0" w:type="dxa"/>
            <w:left w:w="108" w:type="dxa"/>
            <w:bottom w:w="0" w:type="dxa"/>
            <w:right w:w="108" w:type="dxa"/>
          </w:tblCellMar>
        </w:tblPrEx>
        <w:trPr>
          <w:trHeight w:val="390" w:hRule="atLeast"/>
        </w:trPr>
        <w:tc>
          <w:tcPr>
            <w:tcW w:w="724" w:type="dxa"/>
            <w:tcBorders>
              <w:top w:val="nil"/>
              <w:left w:val="single" w:color="auto" w:sz="4" w:space="0"/>
              <w:bottom w:val="single" w:color="auto" w:sz="4" w:space="0"/>
              <w:right w:val="single" w:color="auto" w:sz="4" w:space="0"/>
            </w:tcBorders>
            <w:vAlign w:val="center"/>
          </w:tcPr>
          <w:p>
            <w:pPr>
              <w:jc w:val="center"/>
              <w:rPr>
                <w:rFonts w:ascii="宋体" w:hAnsi="宋体" w:cs="宋体"/>
                <w:kern w:val="0"/>
                <w:szCs w:val="21"/>
              </w:rPr>
            </w:pPr>
            <w:r>
              <w:rPr>
                <w:rFonts w:hint="eastAsia" w:ascii="宋体" w:hAnsi="宋体" w:cs="宋体"/>
                <w:kern w:val="0"/>
                <w:szCs w:val="21"/>
              </w:rPr>
              <w:t>1-2</w:t>
            </w:r>
          </w:p>
        </w:tc>
        <w:tc>
          <w:tcPr>
            <w:tcW w:w="731" w:type="dxa"/>
            <w:tcBorders>
              <w:top w:val="nil"/>
              <w:left w:val="nil"/>
              <w:bottom w:val="single" w:color="auto" w:sz="4" w:space="0"/>
              <w:right w:val="single" w:color="auto" w:sz="4" w:space="0"/>
            </w:tcBorders>
            <w:vAlign w:val="center"/>
          </w:tcPr>
          <w:p>
            <w:pPr>
              <w:jc w:val="center"/>
              <w:rPr>
                <w:rFonts w:ascii="宋体" w:hAnsi="宋体" w:cs="宋体"/>
                <w:kern w:val="0"/>
                <w:szCs w:val="21"/>
              </w:rPr>
            </w:pPr>
          </w:p>
        </w:tc>
        <w:tc>
          <w:tcPr>
            <w:tcW w:w="2340" w:type="dxa"/>
            <w:tcBorders>
              <w:top w:val="nil"/>
              <w:left w:val="nil"/>
              <w:bottom w:val="single" w:color="auto" w:sz="4" w:space="0"/>
              <w:right w:val="single" w:color="auto" w:sz="4" w:space="0"/>
            </w:tcBorders>
            <w:vAlign w:val="center"/>
          </w:tcPr>
          <w:p>
            <w:pPr>
              <w:jc w:val="center"/>
              <w:rPr>
                <w:rFonts w:ascii="宋体" w:hAnsi="宋体"/>
                <w:kern w:val="0"/>
                <w:szCs w:val="21"/>
              </w:rPr>
            </w:pPr>
            <w:r>
              <w:rPr>
                <w:rFonts w:ascii="宋体" w:hAnsi="宋体"/>
                <w:kern w:val="0"/>
                <w:szCs w:val="21"/>
              </w:rPr>
              <w:t>10kV</w:t>
            </w:r>
            <w:r>
              <w:rPr>
                <w:rFonts w:hint="eastAsia" w:ascii="宋体" w:hAnsi="宋体"/>
                <w:kern w:val="0"/>
                <w:szCs w:val="21"/>
              </w:rPr>
              <w:t>进线间隔</w:t>
            </w:r>
          </w:p>
        </w:tc>
        <w:tc>
          <w:tcPr>
            <w:tcW w:w="3240" w:type="dxa"/>
            <w:tcBorders>
              <w:top w:val="nil"/>
              <w:left w:val="nil"/>
              <w:bottom w:val="single" w:color="auto" w:sz="4" w:space="0"/>
              <w:right w:val="single" w:color="auto" w:sz="4" w:space="0"/>
            </w:tcBorders>
            <w:vAlign w:val="center"/>
          </w:tcPr>
          <w:p>
            <w:pPr>
              <w:jc w:val="center"/>
              <w:rPr>
                <w:rFonts w:ascii="宋体" w:hAnsi="宋体" w:cs="宋体"/>
                <w:kern w:val="0"/>
                <w:szCs w:val="21"/>
              </w:rPr>
            </w:pPr>
          </w:p>
        </w:tc>
        <w:tc>
          <w:tcPr>
            <w:tcW w:w="720" w:type="dxa"/>
            <w:tcBorders>
              <w:top w:val="nil"/>
              <w:left w:val="nil"/>
              <w:bottom w:val="single" w:color="auto" w:sz="4" w:space="0"/>
              <w:right w:val="single" w:color="auto" w:sz="4" w:space="0"/>
            </w:tcBorders>
            <w:vAlign w:val="center"/>
          </w:tcPr>
          <w:p>
            <w:pPr>
              <w:jc w:val="center"/>
              <w:rPr>
                <w:rFonts w:ascii="宋体" w:hAnsi="宋体" w:cs="宋体"/>
                <w:kern w:val="0"/>
                <w:szCs w:val="21"/>
              </w:rPr>
            </w:pPr>
            <w:r>
              <w:rPr>
                <w:rFonts w:hint="eastAsia" w:ascii="宋体" w:hAnsi="宋体" w:cs="宋体"/>
                <w:kern w:val="0"/>
                <w:szCs w:val="21"/>
              </w:rPr>
              <w:t>回</w:t>
            </w:r>
          </w:p>
        </w:tc>
        <w:tc>
          <w:tcPr>
            <w:tcW w:w="720" w:type="dxa"/>
            <w:tcBorders>
              <w:top w:val="nil"/>
              <w:left w:val="nil"/>
              <w:bottom w:val="single" w:color="auto" w:sz="4" w:space="0"/>
              <w:right w:val="single" w:color="auto" w:sz="4" w:space="0"/>
            </w:tcBorders>
            <w:vAlign w:val="center"/>
          </w:tcPr>
          <w:p>
            <w:pPr>
              <w:jc w:val="center"/>
              <w:rPr>
                <w:rFonts w:ascii="宋体" w:hAnsi="宋体" w:cs="宋体"/>
                <w:kern w:val="0"/>
                <w:szCs w:val="21"/>
              </w:rPr>
            </w:pPr>
            <w:r>
              <w:rPr>
                <w:rFonts w:hint="eastAsia" w:ascii="宋体" w:hAnsi="宋体" w:cs="宋体"/>
                <w:kern w:val="0"/>
                <w:szCs w:val="21"/>
              </w:rPr>
              <w:t>8</w:t>
            </w:r>
          </w:p>
        </w:tc>
        <w:tc>
          <w:tcPr>
            <w:tcW w:w="1080" w:type="dxa"/>
            <w:tcBorders>
              <w:top w:val="nil"/>
              <w:left w:val="nil"/>
              <w:bottom w:val="single" w:color="auto" w:sz="4" w:space="0"/>
              <w:right w:val="single" w:color="auto" w:sz="4" w:space="0"/>
            </w:tcBorders>
            <w:vAlign w:val="center"/>
          </w:tcPr>
          <w:p>
            <w:pPr>
              <w:jc w:val="center"/>
              <w:rPr>
                <w:rFonts w:ascii="宋体" w:hAnsi="宋体" w:cs="宋体"/>
                <w:kern w:val="0"/>
                <w:szCs w:val="21"/>
              </w:rPr>
            </w:pPr>
            <w:r>
              <w:rPr>
                <w:rFonts w:hint="eastAsia" w:ascii="宋体" w:hAnsi="宋体" w:cs="宋体"/>
                <w:kern w:val="0"/>
                <w:szCs w:val="21"/>
              </w:rPr>
              <w:t>每座1回</w:t>
            </w:r>
          </w:p>
        </w:tc>
      </w:tr>
      <w:tr>
        <w:tblPrEx>
          <w:tblCellMar>
            <w:top w:w="0" w:type="dxa"/>
            <w:left w:w="108" w:type="dxa"/>
            <w:bottom w:w="0" w:type="dxa"/>
            <w:right w:w="108" w:type="dxa"/>
          </w:tblCellMar>
        </w:tblPrEx>
        <w:trPr>
          <w:trHeight w:val="390" w:hRule="atLeast"/>
        </w:trPr>
        <w:tc>
          <w:tcPr>
            <w:tcW w:w="724" w:type="dxa"/>
            <w:tcBorders>
              <w:top w:val="nil"/>
              <w:left w:val="single" w:color="auto" w:sz="4" w:space="0"/>
              <w:bottom w:val="single" w:color="auto" w:sz="4" w:space="0"/>
              <w:right w:val="single" w:color="auto" w:sz="4" w:space="0"/>
            </w:tcBorders>
            <w:vAlign w:val="center"/>
          </w:tcPr>
          <w:p>
            <w:pPr>
              <w:jc w:val="center"/>
              <w:rPr>
                <w:rFonts w:ascii="宋体" w:hAnsi="宋体" w:cs="宋体"/>
                <w:kern w:val="0"/>
                <w:szCs w:val="21"/>
              </w:rPr>
            </w:pPr>
            <w:r>
              <w:rPr>
                <w:rFonts w:hint="eastAsia" w:ascii="宋体" w:hAnsi="宋体" w:cs="宋体"/>
                <w:kern w:val="0"/>
                <w:szCs w:val="21"/>
              </w:rPr>
              <w:t>1-3</w:t>
            </w:r>
          </w:p>
        </w:tc>
        <w:tc>
          <w:tcPr>
            <w:tcW w:w="731" w:type="dxa"/>
            <w:tcBorders>
              <w:top w:val="nil"/>
              <w:left w:val="nil"/>
              <w:bottom w:val="single" w:color="auto" w:sz="4" w:space="0"/>
              <w:right w:val="single" w:color="auto" w:sz="4" w:space="0"/>
            </w:tcBorders>
            <w:vAlign w:val="center"/>
          </w:tcPr>
          <w:p>
            <w:pPr>
              <w:jc w:val="center"/>
              <w:rPr>
                <w:rFonts w:ascii="宋体" w:hAnsi="宋体" w:cs="宋体"/>
                <w:kern w:val="0"/>
                <w:szCs w:val="21"/>
              </w:rPr>
            </w:pPr>
          </w:p>
        </w:tc>
        <w:tc>
          <w:tcPr>
            <w:tcW w:w="2340" w:type="dxa"/>
            <w:tcBorders>
              <w:top w:val="nil"/>
              <w:left w:val="nil"/>
              <w:bottom w:val="single" w:color="auto" w:sz="4" w:space="0"/>
              <w:right w:val="single" w:color="auto" w:sz="4" w:space="0"/>
            </w:tcBorders>
            <w:vAlign w:val="center"/>
          </w:tcPr>
          <w:p>
            <w:pPr>
              <w:jc w:val="center"/>
              <w:rPr>
                <w:rFonts w:ascii="宋体" w:hAnsi="宋体" w:cs="宋体"/>
                <w:kern w:val="0"/>
                <w:szCs w:val="21"/>
              </w:rPr>
            </w:pPr>
            <w:r>
              <w:rPr>
                <w:rFonts w:hint="eastAsia" w:ascii="宋体" w:hAnsi="宋体" w:cs="宋体"/>
                <w:kern w:val="0"/>
                <w:szCs w:val="21"/>
              </w:rPr>
              <w:t>0.4kV计量间隔</w:t>
            </w:r>
          </w:p>
        </w:tc>
        <w:tc>
          <w:tcPr>
            <w:tcW w:w="3240" w:type="dxa"/>
            <w:tcBorders>
              <w:top w:val="nil"/>
              <w:left w:val="nil"/>
              <w:bottom w:val="single" w:color="auto" w:sz="4" w:space="0"/>
              <w:right w:val="single" w:color="auto" w:sz="4" w:space="0"/>
            </w:tcBorders>
            <w:vAlign w:val="center"/>
          </w:tcPr>
          <w:p>
            <w:pPr>
              <w:jc w:val="center"/>
              <w:rPr>
                <w:rFonts w:ascii="宋体" w:hAnsi="宋体" w:cs="宋体"/>
                <w:kern w:val="0"/>
                <w:szCs w:val="21"/>
              </w:rPr>
            </w:pPr>
          </w:p>
        </w:tc>
        <w:tc>
          <w:tcPr>
            <w:tcW w:w="720" w:type="dxa"/>
            <w:tcBorders>
              <w:top w:val="nil"/>
              <w:left w:val="nil"/>
              <w:bottom w:val="single" w:color="auto" w:sz="4" w:space="0"/>
              <w:right w:val="single" w:color="auto" w:sz="4" w:space="0"/>
            </w:tcBorders>
            <w:vAlign w:val="center"/>
          </w:tcPr>
          <w:p>
            <w:pPr>
              <w:jc w:val="center"/>
              <w:rPr>
                <w:rFonts w:ascii="宋体" w:hAnsi="宋体" w:cs="宋体"/>
                <w:kern w:val="0"/>
                <w:szCs w:val="21"/>
              </w:rPr>
            </w:pPr>
            <w:r>
              <w:rPr>
                <w:rFonts w:hint="eastAsia" w:ascii="宋体" w:hAnsi="宋体" w:cs="宋体"/>
                <w:kern w:val="0"/>
                <w:szCs w:val="21"/>
              </w:rPr>
              <w:t>回</w:t>
            </w:r>
          </w:p>
        </w:tc>
        <w:tc>
          <w:tcPr>
            <w:tcW w:w="720" w:type="dxa"/>
            <w:tcBorders>
              <w:top w:val="nil"/>
              <w:left w:val="nil"/>
              <w:bottom w:val="single" w:color="auto" w:sz="4" w:space="0"/>
              <w:right w:val="single" w:color="auto" w:sz="4" w:space="0"/>
            </w:tcBorders>
            <w:vAlign w:val="center"/>
          </w:tcPr>
          <w:p>
            <w:pPr>
              <w:jc w:val="center"/>
              <w:rPr>
                <w:rFonts w:ascii="宋体" w:hAnsi="宋体" w:cs="宋体"/>
                <w:kern w:val="0"/>
                <w:szCs w:val="21"/>
              </w:rPr>
            </w:pPr>
            <w:r>
              <w:rPr>
                <w:rFonts w:hint="eastAsia" w:ascii="宋体" w:hAnsi="宋体" w:cs="宋体"/>
                <w:kern w:val="0"/>
                <w:szCs w:val="21"/>
              </w:rPr>
              <w:t>8</w:t>
            </w:r>
          </w:p>
        </w:tc>
        <w:tc>
          <w:tcPr>
            <w:tcW w:w="1080" w:type="dxa"/>
            <w:tcBorders>
              <w:top w:val="nil"/>
              <w:left w:val="nil"/>
              <w:bottom w:val="single" w:color="auto" w:sz="4" w:space="0"/>
              <w:right w:val="single" w:color="auto" w:sz="4" w:space="0"/>
            </w:tcBorders>
            <w:vAlign w:val="center"/>
          </w:tcPr>
          <w:p>
            <w:pPr>
              <w:jc w:val="center"/>
              <w:rPr>
                <w:rFonts w:ascii="宋体" w:hAnsi="宋体" w:cs="宋体"/>
                <w:kern w:val="0"/>
                <w:szCs w:val="21"/>
              </w:rPr>
            </w:pPr>
            <w:r>
              <w:rPr>
                <w:rFonts w:hint="eastAsia" w:ascii="宋体" w:hAnsi="宋体" w:cs="宋体"/>
                <w:kern w:val="0"/>
                <w:szCs w:val="21"/>
              </w:rPr>
              <w:t>每座1回</w:t>
            </w:r>
          </w:p>
        </w:tc>
      </w:tr>
      <w:tr>
        <w:tblPrEx>
          <w:tblCellMar>
            <w:top w:w="0" w:type="dxa"/>
            <w:left w:w="108" w:type="dxa"/>
            <w:bottom w:w="0" w:type="dxa"/>
            <w:right w:w="108" w:type="dxa"/>
          </w:tblCellMar>
        </w:tblPrEx>
        <w:trPr>
          <w:trHeight w:val="390" w:hRule="atLeast"/>
        </w:trPr>
        <w:tc>
          <w:tcPr>
            <w:tcW w:w="724" w:type="dxa"/>
            <w:tcBorders>
              <w:top w:val="nil"/>
              <w:left w:val="single" w:color="auto" w:sz="4" w:space="0"/>
              <w:bottom w:val="single" w:color="auto" w:sz="4" w:space="0"/>
              <w:right w:val="single" w:color="auto" w:sz="4" w:space="0"/>
            </w:tcBorders>
            <w:vAlign w:val="center"/>
          </w:tcPr>
          <w:p>
            <w:pPr>
              <w:jc w:val="center"/>
              <w:rPr>
                <w:rFonts w:ascii="宋体" w:hAnsi="宋体" w:cs="宋体"/>
                <w:kern w:val="0"/>
                <w:szCs w:val="21"/>
              </w:rPr>
            </w:pPr>
            <w:r>
              <w:rPr>
                <w:rFonts w:hint="eastAsia" w:ascii="宋体" w:hAnsi="宋体" w:cs="宋体"/>
                <w:kern w:val="0"/>
                <w:szCs w:val="21"/>
              </w:rPr>
              <w:t>1-4</w:t>
            </w:r>
          </w:p>
        </w:tc>
        <w:tc>
          <w:tcPr>
            <w:tcW w:w="731" w:type="dxa"/>
            <w:tcBorders>
              <w:top w:val="nil"/>
              <w:left w:val="nil"/>
              <w:bottom w:val="single" w:color="auto" w:sz="4" w:space="0"/>
              <w:right w:val="single" w:color="auto" w:sz="4" w:space="0"/>
            </w:tcBorders>
            <w:vAlign w:val="center"/>
          </w:tcPr>
          <w:p>
            <w:pPr>
              <w:jc w:val="center"/>
              <w:rPr>
                <w:rFonts w:ascii="宋体" w:hAnsi="宋体" w:cs="宋体"/>
                <w:kern w:val="0"/>
                <w:szCs w:val="21"/>
              </w:rPr>
            </w:pPr>
          </w:p>
        </w:tc>
        <w:tc>
          <w:tcPr>
            <w:tcW w:w="2340" w:type="dxa"/>
            <w:tcBorders>
              <w:top w:val="nil"/>
              <w:left w:val="nil"/>
              <w:bottom w:val="single" w:color="auto" w:sz="4" w:space="0"/>
              <w:right w:val="single" w:color="auto" w:sz="4" w:space="0"/>
            </w:tcBorders>
            <w:vAlign w:val="center"/>
          </w:tcPr>
          <w:p>
            <w:pPr>
              <w:jc w:val="center"/>
              <w:rPr>
                <w:rFonts w:ascii="宋体" w:hAnsi="宋体" w:cs="宋体"/>
                <w:kern w:val="0"/>
                <w:szCs w:val="21"/>
              </w:rPr>
            </w:pPr>
            <w:r>
              <w:rPr>
                <w:rFonts w:hint="eastAsia" w:ascii="宋体" w:hAnsi="宋体" w:cs="宋体"/>
                <w:kern w:val="0"/>
                <w:szCs w:val="21"/>
              </w:rPr>
              <w:t>0.4kV进线间隔</w:t>
            </w:r>
          </w:p>
        </w:tc>
        <w:tc>
          <w:tcPr>
            <w:tcW w:w="3240" w:type="dxa"/>
            <w:tcBorders>
              <w:top w:val="nil"/>
              <w:left w:val="nil"/>
              <w:bottom w:val="single" w:color="auto" w:sz="4" w:space="0"/>
              <w:right w:val="single" w:color="auto" w:sz="4" w:space="0"/>
            </w:tcBorders>
            <w:vAlign w:val="center"/>
          </w:tcPr>
          <w:p>
            <w:pPr>
              <w:jc w:val="center"/>
              <w:rPr>
                <w:rFonts w:ascii="宋体" w:hAnsi="宋体" w:cs="宋体"/>
                <w:kern w:val="0"/>
                <w:szCs w:val="21"/>
              </w:rPr>
            </w:pPr>
          </w:p>
        </w:tc>
        <w:tc>
          <w:tcPr>
            <w:tcW w:w="720" w:type="dxa"/>
            <w:tcBorders>
              <w:top w:val="nil"/>
              <w:left w:val="nil"/>
              <w:bottom w:val="single" w:color="auto" w:sz="4" w:space="0"/>
              <w:right w:val="single" w:color="auto" w:sz="4" w:space="0"/>
            </w:tcBorders>
            <w:vAlign w:val="center"/>
          </w:tcPr>
          <w:p>
            <w:pPr>
              <w:jc w:val="center"/>
              <w:rPr>
                <w:rFonts w:ascii="宋体" w:hAnsi="宋体" w:cs="宋体"/>
                <w:kern w:val="0"/>
                <w:szCs w:val="21"/>
              </w:rPr>
            </w:pPr>
            <w:r>
              <w:rPr>
                <w:rFonts w:hint="eastAsia" w:ascii="宋体" w:hAnsi="宋体" w:cs="宋体"/>
                <w:kern w:val="0"/>
                <w:szCs w:val="21"/>
              </w:rPr>
              <w:t>回</w:t>
            </w:r>
          </w:p>
        </w:tc>
        <w:tc>
          <w:tcPr>
            <w:tcW w:w="720" w:type="dxa"/>
            <w:tcBorders>
              <w:top w:val="nil"/>
              <w:left w:val="nil"/>
              <w:bottom w:val="single" w:color="auto" w:sz="4" w:space="0"/>
              <w:right w:val="single" w:color="auto" w:sz="4" w:space="0"/>
            </w:tcBorders>
            <w:vAlign w:val="center"/>
          </w:tcPr>
          <w:p>
            <w:pPr>
              <w:jc w:val="center"/>
              <w:rPr>
                <w:rFonts w:ascii="宋体" w:hAnsi="宋体" w:cs="宋体"/>
                <w:kern w:val="0"/>
                <w:szCs w:val="21"/>
              </w:rPr>
            </w:pPr>
            <w:r>
              <w:rPr>
                <w:rFonts w:hint="eastAsia" w:ascii="宋体" w:hAnsi="宋体" w:cs="宋体"/>
                <w:kern w:val="0"/>
                <w:szCs w:val="21"/>
              </w:rPr>
              <w:t>8</w:t>
            </w:r>
          </w:p>
        </w:tc>
        <w:tc>
          <w:tcPr>
            <w:tcW w:w="1080" w:type="dxa"/>
            <w:tcBorders>
              <w:top w:val="nil"/>
              <w:left w:val="nil"/>
              <w:bottom w:val="single" w:color="auto" w:sz="4" w:space="0"/>
              <w:right w:val="single" w:color="auto" w:sz="4" w:space="0"/>
            </w:tcBorders>
            <w:vAlign w:val="center"/>
          </w:tcPr>
          <w:p>
            <w:pPr>
              <w:jc w:val="center"/>
              <w:rPr>
                <w:rFonts w:ascii="宋体" w:hAnsi="宋体" w:cs="宋体"/>
                <w:kern w:val="0"/>
                <w:szCs w:val="21"/>
              </w:rPr>
            </w:pPr>
            <w:r>
              <w:rPr>
                <w:rFonts w:hint="eastAsia" w:ascii="宋体" w:hAnsi="宋体" w:cs="宋体"/>
                <w:kern w:val="0"/>
                <w:szCs w:val="21"/>
              </w:rPr>
              <w:t>每座1回</w:t>
            </w:r>
          </w:p>
        </w:tc>
      </w:tr>
      <w:tr>
        <w:tblPrEx>
          <w:tblCellMar>
            <w:top w:w="0" w:type="dxa"/>
            <w:left w:w="108" w:type="dxa"/>
            <w:bottom w:w="0" w:type="dxa"/>
            <w:right w:w="108" w:type="dxa"/>
          </w:tblCellMar>
        </w:tblPrEx>
        <w:trPr>
          <w:trHeight w:val="390" w:hRule="atLeast"/>
        </w:trPr>
        <w:tc>
          <w:tcPr>
            <w:tcW w:w="724" w:type="dxa"/>
            <w:tcBorders>
              <w:top w:val="nil"/>
              <w:left w:val="single" w:color="auto" w:sz="4" w:space="0"/>
              <w:bottom w:val="single" w:color="auto" w:sz="4" w:space="0"/>
              <w:right w:val="single" w:color="auto" w:sz="4" w:space="0"/>
            </w:tcBorders>
            <w:vAlign w:val="center"/>
          </w:tcPr>
          <w:p>
            <w:pPr>
              <w:jc w:val="center"/>
              <w:rPr>
                <w:rFonts w:ascii="宋体" w:hAnsi="宋体" w:cs="宋体"/>
                <w:kern w:val="0"/>
                <w:szCs w:val="21"/>
              </w:rPr>
            </w:pPr>
            <w:r>
              <w:rPr>
                <w:rFonts w:hint="eastAsia" w:ascii="宋体" w:hAnsi="宋体" w:cs="宋体"/>
                <w:kern w:val="0"/>
                <w:szCs w:val="21"/>
              </w:rPr>
              <w:t>1-5</w:t>
            </w:r>
          </w:p>
        </w:tc>
        <w:tc>
          <w:tcPr>
            <w:tcW w:w="731" w:type="dxa"/>
            <w:tcBorders>
              <w:top w:val="nil"/>
              <w:left w:val="nil"/>
              <w:bottom w:val="single" w:color="auto" w:sz="4" w:space="0"/>
              <w:right w:val="single" w:color="auto" w:sz="4" w:space="0"/>
            </w:tcBorders>
            <w:vAlign w:val="center"/>
          </w:tcPr>
          <w:p>
            <w:pPr>
              <w:jc w:val="center"/>
              <w:rPr>
                <w:rFonts w:ascii="宋体" w:hAnsi="宋体" w:cs="宋体"/>
                <w:kern w:val="0"/>
                <w:szCs w:val="21"/>
              </w:rPr>
            </w:pPr>
          </w:p>
        </w:tc>
        <w:tc>
          <w:tcPr>
            <w:tcW w:w="2340" w:type="dxa"/>
            <w:tcBorders>
              <w:top w:val="nil"/>
              <w:left w:val="nil"/>
              <w:bottom w:val="single" w:color="auto" w:sz="4" w:space="0"/>
              <w:right w:val="single" w:color="auto" w:sz="4" w:space="0"/>
            </w:tcBorders>
            <w:vAlign w:val="center"/>
          </w:tcPr>
          <w:p>
            <w:pPr>
              <w:jc w:val="center"/>
              <w:rPr>
                <w:rFonts w:ascii="宋体" w:hAnsi="宋体" w:cs="宋体"/>
                <w:kern w:val="0"/>
                <w:szCs w:val="21"/>
              </w:rPr>
            </w:pPr>
            <w:r>
              <w:rPr>
                <w:rFonts w:hint="eastAsia" w:ascii="宋体" w:hAnsi="宋体" w:cs="宋体"/>
                <w:kern w:val="0"/>
                <w:szCs w:val="21"/>
              </w:rPr>
              <w:t>0.4kV出线间隔</w:t>
            </w:r>
          </w:p>
        </w:tc>
        <w:tc>
          <w:tcPr>
            <w:tcW w:w="3240" w:type="dxa"/>
            <w:tcBorders>
              <w:top w:val="nil"/>
              <w:left w:val="nil"/>
              <w:bottom w:val="single" w:color="auto" w:sz="4" w:space="0"/>
              <w:right w:val="single" w:color="auto" w:sz="4" w:space="0"/>
            </w:tcBorders>
            <w:vAlign w:val="center"/>
          </w:tcPr>
          <w:p>
            <w:pPr>
              <w:jc w:val="center"/>
              <w:rPr>
                <w:rFonts w:ascii="宋体" w:hAnsi="宋体" w:cs="宋体"/>
                <w:kern w:val="0"/>
                <w:szCs w:val="21"/>
              </w:rPr>
            </w:pPr>
          </w:p>
        </w:tc>
        <w:tc>
          <w:tcPr>
            <w:tcW w:w="720" w:type="dxa"/>
            <w:tcBorders>
              <w:top w:val="nil"/>
              <w:left w:val="nil"/>
              <w:bottom w:val="single" w:color="auto" w:sz="4" w:space="0"/>
              <w:right w:val="single" w:color="auto" w:sz="4" w:space="0"/>
            </w:tcBorders>
            <w:vAlign w:val="center"/>
          </w:tcPr>
          <w:p>
            <w:pPr>
              <w:jc w:val="center"/>
              <w:rPr>
                <w:rFonts w:ascii="宋体" w:hAnsi="宋体" w:cs="宋体"/>
                <w:kern w:val="0"/>
                <w:szCs w:val="21"/>
              </w:rPr>
            </w:pPr>
            <w:r>
              <w:rPr>
                <w:rFonts w:hint="eastAsia" w:ascii="宋体" w:hAnsi="宋体" w:cs="宋体"/>
                <w:kern w:val="0"/>
                <w:szCs w:val="21"/>
              </w:rPr>
              <w:t>回</w:t>
            </w:r>
          </w:p>
        </w:tc>
        <w:tc>
          <w:tcPr>
            <w:tcW w:w="720" w:type="dxa"/>
            <w:tcBorders>
              <w:top w:val="nil"/>
              <w:left w:val="nil"/>
              <w:bottom w:val="single" w:color="auto" w:sz="4" w:space="0"/>
              <w:right w:val="single" w:color="auto" w:sz="4" w:space="0"/>
            </w:tcBorders>
            <w:vAlign w:val="center"/>
          </w:tcPr>
          <w:p>
            <w:pPr>
              <w:jc w:val="center"/>
              <w:rPr>
                <w:rFonts w:ascii="宋体" w:hAnsi="宋体" w:cs="宋体"/>
                <w:kern w:val="0"/>
                <w:szCs w:val="21"/>
              </w:rPr>
            </w:pPr>
            <w:r>
              <w:rPr>
                <w:rFonts w:hint="eastAsia" w:ascii="宋体" w:hAnsi="宋体" w:cs="宋体"/>
                <w:kern w:val="0"/>
                <w:szCs w:val="21"/>
              </w:rPr>
              <w:t>40</w:t>
            </w:r>
          </w:p>
        </w:tc>
        <w:tc>
          <w:tcPr>
            <w:tcW w:w="1080" w:type="dxa"/>
            <w:tcBorders>
              <w:top w:val="nil"/>
              <w:left w:val="nil"/>
              <w:bottom w:val="single" w:color="auto" w:sz="4" w:space="0"/>
              <w:right w:val="single" w:color="auto" w:sz="4" w:space="0"/>
            </w:tcBorders>
            <w:vAlign w:val="center"/>
          </w:tcPr>
          <w:p>
            <w:pPr>
              <w:jc w:val="center"/>
              <w:rPr>
                <w:rFonts w:ascii="宋体" w:hAnsi="宋体" w:cs="宋体"/>
                <w:kern w:val="0"/>
                <w:szCs w:val="21"/>
              </w:rPr>
            </w:pPr>
            <w:r>
              <w:rPr>
                <w:rFonts w:hint="eastAsia" w:ascii="宋体" w:hAnsi="宋体" w:cs="宋体"/>
                <w:kern w:val="0"/>
                <w:szCs w:val="21"/>
              </w:rPr>
              <w:t>每座5回</w:t>
            </w:r>
          </w:p>
        </w:tc>
      </w:tr>
      <w:tr>
        <w:tblPrEx>
          <w:tblCellMar>
            <w:top w:w="0" w:type="dxa"/>
            <w:left w:w="108" w:type="dxa"/>
            <w:bottom w:w="0" w:type="dxa"/>
            <w:right w:w="108" w:type="dxa"/>
          </w:tblCellMar>
        </w:tblPrEx>
        <w:trPr>
          <w:trHeight w:val="390" w:hRule="atLeast"/>
        </w:trPr>
        <w:tc>
          <w:tcPr>
            <w:tcW w:w="724" w:type="dxa"/>
            <w:tcBorders>
              <w:top w:val="nil"/>
              <w:left w:val="single" w:color="auto" w:sz="4" w:space="0"/>
              <w:bottom w:val="single" w:color="auto" w:sz="4" w:space="0"/>
              <w:right w:val="single" w:color="auto" w:sz="4" w:space="0"/>
            </w:tcBorders>
            <w:vAlign w:val="center"/>
          </w:tcPr>
          <w:p>
            <w:pPr>
              <w:jc w:val="center"/>
              <w:rPr>
                <w:rFonts w:ascii="宋体" w:hAnsi="宋体" w:cs="宋体"/>
                <w:kern w:val="0"/>
                <w:szCs w:val="21"/>
              </w:rPr>
            </w:pPr>
            <w:r>
              <w:rPr>
                <w:rFonts w:hint="eastAsia" w:ascii="宋体" w:hAnsi="宋体" w:cs="宋体"/>
                <w:kern w:val="0"/>
                <w:szCs w:val="21"/>
              </w:rPr>
              <w:t>1-6</w:t>
            </w:r>
          </w:p>
        </w:tc>
        <w:tc>
          <w:tcPr>
            <w:tcW w:w="731" w:type="dxa"/>
            <w:tcBorders>
              <w:top w:val="nil"/>
              <w:left w:val="nil"/>
              <w:bottom w:val="single" w:color="auto" w:sz="4" w:space="0"/>
              <w:right w:val="single" w:color="auto" w:sz="4" w:space="0"/>
            </w:tcBorders>
            <w:vAlign w:val="center"/>
          </w:tcPr>
          <w:p>
            <w:pPr>
              <w:jc w:val="center"/>
              <w:rPr>
                <w:rFonts w:ascii="宋体" w:hAnsi="宋体" w:cs="宋体"/>
                <w:kern w:val="0"/>
                <w:szCs w:val="21"/>
              </w:rPr>
            </w:pPr>
          </w:p>
        </w:tc>
        <w:tc>
          <w:tcPr>
            <w:tcW w:w="2340" w:type="dxa"/>
            <w:tcBorders>
              <w:top w:val="nil"/>
              <w:left w:val="nil"/>
              <w:bottom w:val="single" w:color="auto" w:sz="4" w:space="0"/>
              <w:right w:val="single" w:color="auto" w:sz="4" w:space="0"/>
            </w:tcBorders>
            <w:vAlign w:val="center"/>
          </w:tcPr>
          <w:p>
            <w:pPr>
              <w:jc w:val="center"/>
              <w:rPr>
                <w:rFonts w:ascii="宋体" w:hAnsi="宋体" w:cs="宋体"/>
                <w:kern w:val="0"/>
                <w:szCs w:val="21"/>
              </w:rPr>
            </w:pPr>
            <w:r>
              <w:rPr>
                <w:rFonts w:hint="eastAsia" w:ascii="宋体" w:hAnsi="宋体" w:cs="宋体"/>
                <w:kern w:val="0"/>
                <w:szCs w:val="21"/>
              </w:rPr>
              <w:t>通信设备室</w:t>
            </w:r>
          </w:p>
        </w:tc>
        <w:tc>
          <w:tcPr>
            <w:tcW w:w="3240" w:type="dxa"/>
            <w:tcBorders>
              <w:top w:val="nil"/>
              <w:left w:val="nil"/>
              <w:bottom w:val="single" w:color="auto" w:sz="4" w:space="0"/>
              <w:right w:val="single" w:color="auto" w:sz="4" w:space="0"/>
            </w:tcBorders>
            <w:vAlign w:val="center"/>
          </w:tcPr>
          <w:p>
            <w:pPr>
              <w:jc w:val="center"/>
              <w:rPr>
                <w:rFonts w:ascii="宋体" w:hAnsi="宋体" w:cs="宋体"/>
                <w:kern w:val="0"/>
                <w:szCs w:val="21"/>
              </w:rPr>
            </w:pPr>
            <w:r>
              <w:rPr>
                <w:rFonts w:hint="eastAsia" w:ascii="宋体" w:hAnsi="宋体" w:cs="宋体"/>
                <w:kern w:val="0"/>
                <w:szCs w:val="21"/>
              </w:rPr>
              <w:t>相当于一个GCS柜室空间</w:t>
            </w:r>
          </w:p>
        </w:tc>
        <w:tc>
          <w:tcPr>
            <w:tcW w:w="720" w:type="dxa"/>
            <w:tcBorders>
              <w:top w:val="nil"/>
              <w:left w:val="nil"/>
              <w:bottom w:val="single" w:color="auto" w:sz="4" w:space="0"/>
              <w:right w:val="single" w:color="auto" w:sz="4" w:space="0"/>
            </w:tcBorders>
            <w:vAlign w:val="center"/>
          </w:tcPr>
          <w:p>
            <w:pPr>
              <w:jc w:val="center"/>
              <w:rPr>
                <w:rFonts w:ascii="宋体" w:hAnsi="宋体" w:cs="宋体"/>
                <w:kern w:val="0"/>
                <w:szCs w:val="21"/>
              </w:rPr>
            </w:pPr>
            <w:r>
              <w:rPr>
                <w:rFonts w:hint="eastAsia" w:ascii="宋体" w:hAnsi="宋体" w:cs="宋体"/>
                <w:kern w:val="0"/>
                <w:szCs w:val="21"/>
              </w:rPr>
              <w:t>回</w:t>
            </w:r>
          </w:p>
        </w:tc>
        <w:tc>
          <w:tcPr>
            <w:tcW w:w="720" w:type="dxa"/>
            <w:tcBorders>
              <w:top w:val="nil"/>
              <w:left w:val="nil"/>
              <w:bottom w:val="single" w:color="auto" w:sz="4" w:space="0"/>
              <w:right w:val="single" w:color="auto" w:sz="4" w:space="0"/>
            </w:tcBorders>
            <w:vAlign w:val="center"/>
          </w:tcPr>
          <w:p>
            <w:pPr>
              <w:jc w:val="center"/>
              <w:rPr>
                <w:rFonts w:ascii="宋体" w:hAnsi="宋体" w:cs="宋体"/>
                <w:kern w:val="0"/>
                <w:szCs w:val="21"/>
              </w:rPr>
            </w:pPr>
            <w:r>
              <w:rPr>
                <w:rFonts w:hint="eastAsia" w:ascii="宋体" w:hAnsi="宋体" w:cs="宋体"/>
                <w:kern w:val="0"/>
                <w:szCs w:val="21"/>
              </w:rPr>
              <w:t>8</w:t>
            </w:r>
          </w:p>
        </w:tc>
        <w:tc>
          <w:tcPr>
            <w:tcW w:w="1080" w:type="dxa"/>
            <w:tcBorders>
              <w:top w:val="nil"/>
              <w:left w:val="nil"/>
              <w:bottom w:val="single" w:color="auto" w:sz="4" w:space="0"/>
              <w:right w:val="single" w:color="auto" w:sz="4" w:space="0"/>
            </w:tcBorders>
            <w:vAlign w:val="center"/>
          </w:tcPr>
          <w:p>
            <w:pPr>
              <w:jc w:val="center"/>
              <w:rPr>
                <w:rFonts w:ascii="宋体" w:hAnsi="宋体" w:cs="宋体"/>
                <w:kern w:val="0"/>
                <w:szCs w:val="21"/>
              </w:rPr>
            </w:pPr>
            <w:r>
              <w:rPr>
                <w:rFonts w:hint="eastAsia" w:ascii="宋体" w:hAnsi="宋体" w:cs="宋体"/>
                <w:kern w:val="0"/>
                <w:szCs w:val="21"/>
              </w:rPr>
              <w:t>每座1回</w:t>
            </w:r>
          </w:p>
        </w:tc>
      </w:tr>
    </w:tbl>
    <w:p>
      <w:pPr>
        <w:bidi w:val="0"/>
        <w:rPr>
          <w:rFonts w:hint="eastAsia" w:ascii="宋体" w:hAnsi="宋体" w:eastAsia="宋体" w:cs="宋体"/>
          <w:b/>
          <w:bCs/>
          <w:sz w:val="24"/>
          <w:szCs w:val="24"/>
        </w:rPr>
      </w:pPr>
      <w:bookmarkStart w:id="70" w:name="_Toc31791905"/>
      <w:r>
        <w:rPr>
          <w:rFonts w:hint="eastAsia" w:ascii="宋体" w:hAnsi="宋体" w:eastAsia="宋体" w:cs="宋体"/>
          <w:b/>
          <w:bCs/>
          <w:sz w:val="24"/>
          <w:szCs w:val="24"/>
        </w:rPr>
        <w:t>12 附图</w:t>
      </w:r>
      <w:bookmarkEnd w:id="70"/>
    </w:p>
    <w:p>
      <w:pPr>
        <w:spacing w:line="400" w:lineRule="exact"/>
        <w:ind w:firstLine="480" w:firstLineChars="200"/>
        <w:rPr>
          <w:rFonts w:hint="eastAsia" w:ascii="宋体" w:hAnsi="宋体"/>
          <w:sz w:val="24"/>
          <w:szCs w:val="24"/>
        </w:rPr>
      </w:pPr>
      <w:r>
        <w:rPr>
          <w:rFonts w:hint="eastAsia" w:ascii="宋体" w:hAnsi="宋体"/>
          <w:sz w:val="24"/>
          <w:szCs w:val="24"/>
        </w:rPr>
        <w:t>附图一 30kVA典型箱变接线图</w:t>
      </w:r>
      <w:bookmarkStart w:id="71" w:name="_Toc31791906"/>
    </w:p>
    <w:p>
      <w:pPr>
        <w:spacing w:line="400" w:lineRule="exact"/>
        <w:ind w:firstLine="480" w:firstLineChars="200"/>
        <w:rPr>
          <w:rFonts w:hint="eastAsia" w:ascii="宋体" w:hAnsi="宋体"/>
          <w:sz w:val="24"/>
          <w:szCs w:val="24"/>
        </w:rPr>
      </w:pPr>
    </w:p>
    <w:p>
      <w:pPr>
        <w:pStyle w:val="4"/>
        <w:keepNext/>
        <w:keepLines/>
        <w:pageBreakBefore w:val="0"/>
        <w:widowControl/>
        <w:kinsoku/>
        <w:wordWrap/>
        <w:overflowPunct/>
        <w:topLinePunct w:val="0"/>
        <w:autoSpaceDE/>
        <w:autoSpaceDN/>
        <w:bidi w:val="0"/>
        <w:adjustRightInd/>
        <w:snapToGrid/>
        <w:spacing w:line="15" w:lineRule="auto"/>
        <w:textAlignment w:val="auto"/>
        <w:rPr>
          <w:rFonts w:hint="eastAsia"/>
          <w:sz w:val="28"/>
          <w:szCs w:val="28"/>
        </w:rPr>
      </w:pPr>
      <w:r>
        <w:rPr>
          <w:rFonts w:hint="eastAsia"/>
          <w:sz w:val="28"/>
          <w:szCs w:val="28"/>
        </w:rPr>
        <w:t>三、10kV户外设备</w:t>
      </w:r>
      <w:bookmarkEnd w:id="71"/>
    </w:p>
    <w:p>
      <w:pPr>
        <w:bidi w:val="0"/>
        <w:rPr>
          <w:rFonts w:hint="eastAsia" w:ascii="宋体" w:hAnsi="宋体" w:eastAsia="宋体" w:cs="宋体"/>
          <w:b/>
          <w:bCs/>
          <w:sz w:val="24"/>
          <w:szCs w:val="24"/>
        </w:rPr>
      </w:pPr>
      <w:bookmarkStart w:id="72" w:name="_Toc31791907"/>
      <w:r>
        <w:rPr>
          <w:rFonts w:hint="eastAsia" w:ascii="宋体" w:hAnsi="宋体" w:eastAsia="宋体" w:cs="宋体"/>
          <w:b/>
          <w:bCs/>
          <w:sz w:val="24"/>
          <w:szCs w:val="24"/>
        </w:rPr>
        <w:t>1.  总则</w:t>
      </w:r>
      <w:bookmarkEnd w:id="72"/>
    </w:p>
    <w:p>
      <w:pPr>
        <w:spacing w:line="400" w:lineRule="exact"/>
        <w:ind w:firstLine="480" w:firstLineChars="200"/>
        <w:rPr>
          <w:rFonts w:ascii="宋体" w:hAnsi="宋体"/>
          <w:sz w:val="24"/>
          <w:szCs w:val="24"/>
        </w:rPr>
      </w:pPr>
      <w:r>
        <w:rPr>
          <w:rFonts w:ascii="宋体" w:hAnsi="宋体"/>
          <w:sz w:val="24"/>
          <w:szCs w:val="24"/>
        </w:rPr>
        <w:t>1.1本设备技术规范(以下简称规范)适用于</w:t>
      </w:r>
      <w:r>
        <w:rPr>
          <w:rFonts w:hint="eastAsia" w:ascii="宋体" w:hAnsi="宋体"/>
          <w:sz w:val="24"/>
          <w:szCs w:val="24"/>
        </w:rPr>
        <w:t>吉林省哈达山松原灌区工程大安片区2016年施工渠系闸门箱式变电站10kV户外设备。</w:t>
      </w:r>
    </w:p>
    <w:p>
      <w:pPr>
        <w:spacing w:line="400" w:lineRule="exact"/>
        <w:ind w:firstLine="480" w:firstLineChars="200"/>
        <w:rPr>
          <w:rFonts w:ascii="宋体" w:hAnsi="宋体"/>
          <w:sz w:val="24"/>
          <w:szCs w:val="24"/>
        </w:rPr>
      </w:pPr>
      <w:r>
        <w:rPr>
          <w:rFonts w:ascii="宋体" w:hAnsi="宋体"/>
          <w:sz w:val="24"/>
          <w:szCs w:val="24"/>
        </w:rPr>
        <w:t>1.2本设备技术规范并未对一切技术细节作出规定，也未充分引述有关标准和规范的条文，供货商应提供符合</w:t>
      </w:r>
      <w:r>
        <w:rPr>
          <w:rFonts w:hint="eastAsia" w:ascii="宋体" w:hAnsi="宋体"/>
          <w:sz w:val="24"/>
          <w:szCs w:val="24"/>
        </w:rPr>
        <w:t>以下</w:t>
      </w:r>
      <w:r>
        <w:rPr>
          <w:rFonts w:ascii="宋体" w:hAnsi="宋体"/>
          <w:sz w:val="24"/>
          <w:szCs w:val="24"/>
        </w:rPr>
        <w:t>设备有关标准和规范的优质产品。</w:t>
      </w:r>
    </w:p>
    <w:p>
      <w:pPr>
        <w:bidi w:val="0"/>
        <w:rPr>
          <w:rFonts w:hint="eastAsia" w:ascii="宋体" w:hAnsi="宋体" w:eastAsia="宋体" w:cs="宋体"/>
          <w:b/>
          <w:bCs/>
          <w:sz w:val="24"/>
          <w:szCs w:val="24"/>
        </w:rPr>
      </w:pPr>
      <w:bookmarkStart w:id="73" w:name="_Toc31791908"/>
      <w:r>
        <w:rPr>
          <w:rFonts w:hint="eastAsia" w:ascii="宋体" w:hAnsi="宋体" w:eastAsia="宋体" w:cs="宋体"/>
          <w:b/>
          <w:bCs/>
          <w:sz w:val="24"/>
          <w:szCs w:val="24"/>
        </w:rPr>
        <w:t>2.符号和标准</w:t>
      </w:r>
      <w:bookmarkEnd w:id="73"/>
    </w:p>
    <w:p>
      <w:pPr>
        <w:spacing w:line="400" w:lineRule="exact"/>
        <w:ind w:firstLine="480" w:firstLineChars="200"/>
        <w:rPr>
          <w:rFonts w:ascii="宋体" w:hAnsi="宋体"/>
          <w:sz w:val="24"/>
          <w:szCs w:val="24"/>
        </w:rPr>
      </w:pPr>
      <w:r>
        <w:rPr>
          <w:rFonts w:ascii="宋体" w:hAnsi="宋体"/>
          <w:sz w:val="24"/>
          <w:szCs w:val="24"/>
        </w:rPr>
        <w:t>2.1 国际电工委员会标准（IEC）</w:t>
      </w:r>
    </w:p>
    <w:p>
      <w:pPr>
        <w:tabs>
          <w:tab w:val="left" w:pos="1110"/>
        </w:tabs>
        <w:spacing w:line="400" w:lineRule="exact"/>
        <w:ind w:firstLine="480" w:firstLineChars="200"/>
        <w:rPr>
          <w:rFonts w:ascii="宋体" w:hAnsi="宋体"/>
          <w:sz w:val="24"/>
          <w:szCs w:val="24"/>
        </w:rPr>
      </w:pPr>
      <w:r>
        <w:rPr>
          <w:rFonts w:ascii="宋体" w:hAnsi="宋体"/>
          <w:sz w:val="24"/>
          <w:szCs w:val="24"/>
        </w:rPr>
        <w:t>2.1.</w:t>
      </w:r>
      <w:r>
        <w:rPr>
          <w:rFonts w:hint="eastAsia" w:ascii="宋体" w:hAnsi="宋体"/>
          <w:sz w:val="24"/>
          <w:szCs w:val="24"/>
        </w:rPr>
        <w:t>1</w:t>
      </w:r>
      <w:r>
        <w:rPr>
          <w:rFonts w:ascii="宋体" w:hAnsi="宋体"/>
          <w:sz w:val="24"/>
          <w:szCs w:val="24"/>
        </w:rPr>
        <w:tab/>
      </w:r>
      <w:r>
        <w:rPr>
          <w:rFonts w:ascii="宋体" w:hAnsi="宋体"/>
          <w:sz w:val="24"/>
          <w:szCs w:val="24"/>
        </w:rPr>
        <w:t>IEC129 交流高压隔离开关和接地开关</w:t>
      </w:r>
    </w:p>
    <w:p>
      <w:pPr>
        <w:tabs>
          <w:tab w:val="left" w:pos="1110"/>
        </w:tabs>
        <w:spacing w:line="400" w:lineRule="exact"/>
        <w:ind w:firstLine="480" w:firstLineChars="200"/>
        <w:rPr>
          <w:rFonts w:ascii="宋体" w:hAnsi="宋体"/>
          <w:sz w:val="24"/>
          <w:szCs w:val="24"/>
        </w:rPr>
      </w:pPr>
      <w:r>
        <w:rPr>
          <w:rFonts w:ascii="宋体" w:hAnsi="宋体"/>
          <w:sz w:val="24"/>
          <w:szCs w:val="24"/>
        </w:rPr>
        <w:t>2.1.</w:t>
      </w:r>
      <w:r>
        <w:rPr>
          <w:rFonts w:hint="eastAsia" w:ascii="宋体" w:hAnsi="宋体"/>
          <w:sz w:val="24"/>
          <w:szCs w:val="24"/>
        </w:rPr>
        <w:t>2</w:t>
      </w:r>
      <w:r>
        <w:rPr>
          <w:rFonts w:ascii="宋体" w:hAnsi="宋体"/>
          <w:sz w:val="24"/>
          <w:szCs w:val="24"/>
        </w:rPr>
        <w:tab/>
      </w:r>
      <w:r>
        <w:rPr>
          <w:rFonts w:ascii="宋体" w:hAnsi="宋体"/>
          <w:sz w:val="24"/>
          <w:szCs w:val="24"/>
        </w:rPr>
        <w:t>IEC265 关于高压交流开关规定</w:t>
      </w:r>
    </w:p>
    <w:p>
      <w:pPr>
        <w:spacing w:line="400" w:lineRule="exact"/>
        <w:ind w:firstLine="480" w:firstLineChars="200"/>
        <w:rPr>
          <w:rFonts w:ascii="宋体" w:hAnsi="宋体"/>
          <w:sz w:val="24"/>
          <w:szCs w:val="24"/>
        </w:rPr>
      </w:pPr>
      <w:r>
        <w:rPr>
          <w:rFonts w:ascii="宋体" w:hAnsi="宋体"/>
          <w:sz w:val="24"/>
          <w:szCs w:val="24"/>
        </w:rPr>
        <w:t>2.1.</w:t>
      </w:r>
      <w:r>
        <w:rPr>
          <w:rFonts w:hint="eastAsia" w:ascii="宋体" w:hAnsi="宋体"/>
          <w:sz w:val="24"/>
          <w:szCs w:val="24"/>
        </w:rPr>
        <w:t>3</w:t>
      </w:r>
      <w:r>
        <w:rPr>
          <w:rFonts w:ascii="宋体" w:hAnsi="宋体"/>
          <w:sz w:val="24"/>
          <w:szCs w:val="24"/>
        </w:rPr>
        <w:t xml:space="preserve">  IEC529 关于外壳保护等级规定</w:t>
      </w:r>
    </w:p>
    <w:p>
      <w:pPr>
        <w:spacing w:line="400" w:lineRule="exact"/>
        <w:ind w:firstLine="480" w:firstLineChars="200"/>
        <w:rPr>
          <w:rFonts w:ascii="宋体" w:hAnsi="宋体"/>
          <w:sz w:val="24"/>
          <w:szCs w:val="24"/>
        </w:rPr>
      </w:pPr>
      <w:r>
        <w:rPr>
          <w:rFonts w:ascii="宋体" w:hAnsi="宋体"/>
          <w:sz w:val="24"/>
          <w:szCs w:val="24"/>
        </w:rPr>
        <w:t>2.1.</w:t>
      </w:r>
      <w:r>
        <w:rPr>
          <w:rFonts w:hint="eastAsia" w:ascii="宋体" w:hAnsi="宋体"/>
          <w:sz w:val="24"/>
          <w:szCs w:val="24"/>
        </w:rPr>
        <w:t>4</w:t>
      </w:r>
      <w:r>
        <w:rPr>
          <w:rFonts w:ascii="宋体" w:hAnsi="宋体"/>
          <w:sz w:val="24"/>
          <w:szCs w:val="24"/>
        </w:rPr>
        <w:t xml:space="preserve">  IEC85 关于确定电气绝缘温度方法的规定</w:t>
      </w:r>
    </w:p>
    <w:p>
      <w:pPr>
        <w:spacing w:line="400" w:lineRule="exact"/>
        <w:ind w:firstLine="480" w:firstLineChars="200"/>
        <w:rPr>
          <w:rFonts w:ascii="宋体" w:hAnsi="宋体"/>
          <w:sz w:val="24"/>
          <w:szCs w:val="24"/>
        </w:rPr>
      </w:pPr>
      <w:r>
        <w:rPr>
          <w:rFonts w:ascii="宋体" w:hAnsi="宋体"/>
          <w:sz w:val="24"/>
          <w:szCs w:val="24"/>
        </w:rPr>
        <w:t>2.1.</w:t>
      </w:r>
      <w:r>
        <w:rPr>
          <w:rFonts w:hint="eastAsia" w:ascii="宋体" w:hAnsi="宋体"/>
          <w:sz w:val="24"/>
          <w:szCs w:val="24"/>
        </w:rPr>
        <w:t>5</w:t>
      </w:r>
      <w:r>
        <w:rPr>
          <w:rFonts w:ascii="宋体" w:hAnsi="宋体"/>
          <w:sz w:val="24"/>
          <w:szCs w:val="24"/>
        </w:rPr>
        <w:t xml:space="preserve">  IEC71-1 关于不同危险等级雷击强度选择</w:t>
      </w:r>
    </w:p>
    <w:p>
      <w:pPr>
        <w:tabs>
          <w:tab w:val="left" w:pos="1125"/>
        </w:tabs>
        <w:spacing w:line="400" w:lineRule="exact"/>
        <w:ind w:firstLine="480" w:firstLineChars="200"/>
        <w:rPr>
          <w:rFonts w:ascii="宋体" w:hAnsi="宋体"/>
          <w:sz w:val="24"/>
          <w:szCs w:val="24"/>
        </w:rPr>
      </w:pPr>
      <w:r>
        <w:rPr>
          <w:rFonts w:ascii="宋体" w:hAnsi="宋体"/>
          <w:sz w:val="24"/>
          <w:szCs w:val="24"/>
        </w:rPr>
        <w:t>2.1.</w:t>
      </w:r>
      <w:r>
        <w:rPr>
          <w:rFonts w:hint="eastAsia" w:ascii="宋体" w:hAnsi="宋体"/>
          <w:sz w:val="24"/>
          <w:szCs w:val="24"/>
        </w:rPr>
        <w:t>6</w:t>
      </w:r>
      <w:r>
        <w:rPr>
          <w:rFonts w:ascii="宋体" w:hAnsi="宋体"/>
          <w:sz w:val="24"/>
          <w:szCs w:val="24"/>
        </w:rPr>
        <w:tab/>
      </w:r>
      <w:r>
        <w:rPr>
          <w:rFonts w:ascii="宋体" w:hAnsi="宋体"/>
          <w:sz w:val="24"/>
          <w:szCs w:val="24"/>
        </w:rPr>
        <w:t>IEC694 高压开关设备和控制设备标准的共同条款</w:t>
      </w:r>
    </w:p>
    <w:p>
      <w:pPr>
        <w:spacing w:line="400" w:lineRule="exact"/>
        <w:ind w:firstLine="480" w:firstLineChars="200"/>
        <w:rPr>
          <w:rFonts w:ascii="宋体" w:hAnsi="宋体"/>
          <w:sz w:val="24"/>
          <w:szCs w:val="24"/>
        </w:rPr>
      </w:pPr>
      <w:r>
        <w:rPr>
          <w:rFonts w:ascii="宋体" w:hAnsi="宋体"/>
          <w:sz w:val="24"/>
          <w:szCs w:val="24"/>
        </w:rPr>
        <w:t>2.2 中华人民共和国国家标准（GB）和行业标准</w:t>
      </w:r>
    </w:p>
    <w:p>
      <w:pPr>
        <w:spacing w:line="400" w:lineRule="exact"/>
        <w:ind w:firstLine="480" w:firstLineChars="200"/>
        <w:rPr>
          <w:rFonts w:ascii="宋体" w:hAnsi="宋体"/>
          <w:sz w:val="24"/>
          <w:szCs w:val="24"/>
        </w:rPr>
      </w:pPr>
      <w:r>
        <w:rPr>
          <w:rFonts w:ascii="宋体" w:hAnsi="宋体"/>
          <w:sz w:val="24"/>
          <w:szCs w:val="24"/>
        </w:rPr>
        <w:t>2.2.1   GB156 额定电压</w:t>
      </w:r>
    </w:p>
    <w:p>
      <w:pPr>
        <w:tabs>
          <w:tab w:val="left" w:pos="1090"/>
        </w:tabs>
        <w:spacing w:line="400" w:lineRule="exact"/>
        <w:ind w:firstLine="480" w:firstLineChars="200"/>
        <w:rPr>
          <w:rFonts w:ascii="宋体" w:hAnsi="宋体"/>
          <w:sz w:val="24"/>
          <w:szCs w:val="24"/>
        </w:rPr>
      </w:pPr>
      <w:r>
        <w:rPr>
          <w:rFonts w:ascii="宋体" w:hAnsi="宋体"/>
          <w:sz w:val="24"/>
          <w:szCs w:val="24"/>
        </w:rPr>
        <w:t xml:space="preserve">2.2.2  </w:t>
      </w:r>
      <w:r>
        <w:rPr>
          <w:rFonts w:ascii="宋体" w:hAnsi="宋体"/>
          <w:sz w:val="24"/>
          <w:szCs w:val="24"/>
        </w:rPr>
        <w:tab/>
      </w:r>
      <w:r>
        <w:rPr>
          <w:rFonts w:ascii="宋体" w:hAnsi="宋体"/>
          <w:sz w:val="24"/>
          <w:szCs w:val="24"/>
        </w:rPr>
        <w:t>GB11022 高压开关设备的通用技术条件</w:t>
      </w:r>
    </w:p>
    <w:p>
      <w:pPr>
        <w:tabs>
          <w:tab w:val="left" w:pos="1225"/>
        </w:tabs>
        <w:spacing w:line="400" w:lineRule="exact"/>
        <w:ind w:firstLine="480" w:firstLineChars="200"/>
        <w:rPr>
          <w:rFonts w:ascii="宋体" w:hAnsi="宋体"/>
          <w:sz w:val="24"/>
          <w:szCs w:val="24"/>
        </w:rPr>
      </w:pPr>
      <w:r>
        <w:rPr>
          <w:rFonts w:ascii="宋体" w:hAnsi="宋体"/>
          <w:sz w:val="24"/>
          <w:szCs w:val="24"/>
        </w:rPr>
        <w:t>2.2.3</w:t>
      </w:r>
      <w:r>
        <w:rPr>
          <w:rFonts w:ascii="宋体" w:hAnsi="宋体"/>
          <w:sz w:val="24"/>
          <w:szCs w:val="24"/>
        </w:rPr>
        <w:tab/>
      </w:r>
      <w:r>
        <w:rPr>
          <w:rFonts w:ascii="宋体" w:hAnsi="宋体"/>
          <w:sz w:val="24"/>
          <w:szCs w:val="24"/>
        </w:rPr>
        <w:t>DL/T 593 高压开关设备</w:t>
      </w:r>
      <w:r>
        <w:rPr>
          <w:rFonts w:hint="eastAsia" w:ascii="宋体" w:hAnsi="宋体"/>
          <w:sz w:val="24"/>
          <w:szCs w:val="24"/>
        </w:rPr>
        <w:t>和控制设备标准</w:t>
      </w:r>
      <w:r>
        <w:rPr>
          <w:rFonts w:ascii="宋体" w:hAnsi="宋体"/>
          <w:sz w:val="24"/>
          <w:szCs w:val="24"/>
        </w:rPr>
        <w:t>的共用技术条件</w:t>
      </w:r>
    </w:p>
    <w:p>
      <w:pPr>
        <w:spacing w:line="400" w:lineRule="exact"/>
        <w:ind w:firstLine="480" w:firstLineChars="200"/>
        <w:rPr>
          <w:rFonts w:ascii="宋体" w:hAnsi="宋体"/>
          <w:sz w:val="24"/>
          <w:szCs w:val="24"/>
        </w:rPr>
      </w:pPr>
      <w:r>
        <w:rPr>
          <w:rFonts w:ascii="宋体" w:hAnsi="宋体"/>
          <w:sz w:val="24"/>
          <w:szCs w:val="24"/>
        </w:rPr>
        <w:t>2.2.</w:t>
      </w:r>
      <w:r>
        <w:rPr>
          <w:rFonts w:hint="eastAsia" w:ascii="宋体" w:hAnsi="宋体"/>
          <w:sz w:val="24"/>
          <w:szCs w:val="24"/>
        </w:rPr>
        <w:t>4</w:t>
      </w:r>
      <w:r>
        <w:rPr>
          <w:rFonts w:ascii="宋体" w:hAnsi="宋体"/>
          <w:sz w:val="24"/>
          <w:szCs w:val="24"/>
        </w:rPr>
        <w:t xml:space="preserve">   GB311 高压输变电设备的绝缘配合</w:t>
      </w:r>
    </w:p>
    <w:p>
      <w:pPr>
        <w:spacing w:line="400" w:lineRule="exact"/>
        <w:ind w:firstLine="480" w:firstLineChars="200"/>
        <w:rPr>
          <w:rFonts w:ascii="宋体" w:hAnsi="宋体"/>
          <w:sz w:val="24"/>
          <w:szCs w:val="24"/>
        </w:rPr>
      </w:pPr>
      <w:r>
        <w:rPr>
          <w:rFonts w:ascii="宋体" w:hAnsi="宋体"/>
          <w:sz w:val="24"/>
          <w:szCs w:val="24"/>
        </w:rPr>
        <w:t>2.2.</w:t>
      </w:r>
      <w:r>
        <w:rPr>
          <w:rFonts w:hint="eastAsia" w:ascii="宋体" w:hAnsi="宋体"/>
          <w:sz w:val="24"/>
          <w:szCs w:val="24"/>
        </w:rPr>
        <w:t>5</w:t>
      </w:r>
      <w:r>
        <w:rPr>
          <w:rFonts w:ascii="宋体" w:hAnsi="宋体"/>
          <w:sz w:val="24"/>
          <w:szCs w:val="24"/>
        </w:rPr>
        <w:t xml:space="preserve">   GB311 高电压试验技术</w:t>
      </w:r>
    </w:p>
    <w:p>
      <w:pPr>
        <w:spacing w:line="400" w:lineRule="exact"/>
        <w:ind w:firstLine="480" w:firstLineChars="200"/>
        <w:rPr>
          <w:rFonts w:ascii="宋体" w:hAnsi="宋体"/>
          <w:sz w:val="24"/>
          <w:szCs w:val="24"/>
        </w:rPr>
      </w:pPr>
      <w:r>
        <w:rPr>
          <w:rFonts w:ascii="宋体" w:hAnsi="宋体"/>
          <w:sz w:val="24"/>
          <w:szCs w:val="24"/>
        </w:rPr>
        <w:t>2.2.</w:t>
      </w:r>
      <w:r>
        <w:rPr>
          <w:rFonts w:hint="eastAsia" w:ascii="宋体" w:hAnsi="宋体"/>
          <w:sz w:val="24"/>
          <w:szCs w:val="24"/>
        </w:rPr>
        <w:t>6</w:t>
      </w:r>
      <w:r>
        <w:rPr>
          <w:rFonts w:ascii="宋体" w:hAnsi="宋体"/>
          <w:sz w:val="24"/>
          <w:szCs w:val="24"/>
        </w:rPr>
        <w:t xml:space="preserve">   GB763 交流高压电器在长期工作时的发热</w:t>
      </w:r>
    </w:p>
    <w:p>
      <w:pPr>
        <w:spacing w:line="400" w:lineRule="exact"/>
        <w:ind w:firstLine="480" w:firstLineChars="200"/>
        <w:rPr>
          <w:rFonts w:ascii="宋体" w:hAnsi="宋体"/>
          <w:sz w:val="24"/>
          <w:szCs w:val="24"/>
        </w:rPr>
      </w:pPr>
      <w:r>
        <w:rPr>
          <w:rFonts w:ascii="宋体" w:hAnsi="宋体"/>
          <w:sz w:val="24"/>
          <w:szCs w:val="24"/>
        </w:rPr>
        <w:t>2.2.</w:t>
      </w:r>
      <w:r>
        <w:rPr>
          <w:rFonts w:hint="eastAsia" w:ascii="宋体" w:hAnsi="宋体"/>
          <w:sz w:val="24"/>
          <w:szCs w:val="24"/>
        </w:rPr>
        <w:t>7</w:t>
      </w:r>
      <w:r>
        <w:rPr>
          <w:rFonts w:ascii="宋体" w:hAnsi="宋体"/>
          <w:sz w:val="24"/>
          <w:szCs w:val="24"/>
        </w:rPr>
        <w:t xml:space="preserve">   GB1408 固体绝缘材料工频电气强度的试验方法</w:t>
      </w:r>
    </w:p>
    <w:p>
      <w:pPr>
        <w:spacing w:line="400" w:lineRule="exact"/>
        <w:ind w:firstLine="480" w:firstLineChars="200"/>
        <w:rPr>
          <w:rFonts w:ascii="宋体" w:hAnsi="宋体"/>
          <w:sz w:val="24"/>
          <w:szCs w:val="24"/>
        </w:rPr>
      </w:pPr>
      <w:r>
        <w:rPr>
          <w:rFonts w:ascii="宋体" w:hAnsi="宋体"/>
          <w:sz w:val="24"/>
          <w:szCs w:val="24"/>
        </w:rPr>
        <w:t>2.2.</w:t>
      </w:r>
      <w:r>
        <w:rPr>
          <w:rFonts w:hint="eastAsia" w:ascii="宋体" w:hAnsi="宋体"/>
          <w:sz w:val="24"/>
          <w:szCs w:val="24"/>
        </w:rPr>
        <w:t>8</w:t>
      </w:r>
      <w:r>
        <w:rPr>
          <w:rFonts w:ascii="宋体" w:hAnsi="宋体"/>
          <w:sz w:val="24"/>
          <w:szCs w:val="24"/>
        </w:rPr>
        <w:t xml:space="preserve">   GB2706 交流高压电器动、热稳定试验方法</w:t>
      </w:r>
    </w:p>
    <w:p>
      <w:pPr>
        <w:spacing w:line="400" w:lineRule="exact"/>
        <w:ind w:firstLine="480" w:firstLineChars="200"/>
        <w:rPr>
          <w:rFonts w:ascii="宋体" w:hAnsi="宋体"/>
          <w:sz w:val="24"/>
          <w:szCs w:val="24"/>
        </w:rPr>
      </w:pPr>
      <w:r>
        <w:rPr>
          <w:rFonts w:ascii="宋体" w:hAnsi="宋体"/>
          <w:sz w:val="24"/>
          <w:szCs w:val="24"/>
        </w:rPr>
        <w:t>2.2.</w:t>
      </w:r>
      <w:r>
        <w:rPr>
          <w:rFonts w:hint="eastAsia" w:ascii="宋体" w:hAnsi="宋体"/>
          <w:sz w:val="24"/>
          <w:szCs w:val="24"/>
        </w:rPr>
        <w:t>9</w:t>
      </w:r>
      <w:r>
        <w:rPr>
          <w:rFonts w:ascii="宋体" w:hAnsi="宋体"/>
          <w:sz w:val="24"/>
          <w:szCs w:val="24"/>
        </w:rPr>
        <w:t xml:space="preserve">  GB/T2900 电工术语  高压开关设备</w:t>
      </w:r>
    </w:p>
    <w:p>
      <w:pPr>
        <w:spacing w:line="400" w:lineRule="exact"/>
        <w:ind w:firstLine="480" w:firstLineChars="200"/>
        <w:rPr>
          <w:rFonts w:ascii="宋体" w:hAnsi="宋体"/>
          <w:sz w:val="24"/>
          <w:szCs w:val="24"/>
        </w:rPr>
      </w:pPr>
      <w:r>
        <w:rPr>
          <w:rFonts w:ascii="宋体" w:hAnsi="宋体"/>
          <w:sz w:val="24"/>
          <w:szCs w:val="24"/>
        </w:rPr>
        <w:t>2.2.1</w:t>
      </w:r>
      <w:r>
        <w:rPr>
          <w:rFonts w:hint="eastAsia" w:ascii="宋体" w:hAnsi="宋体"/>
          <w:sz w:val="24"/>
          <w:szCs w:val="24"/>
        </w:rPr>
        <w:t>0</w:t>
      </w:r>
      <w:r>
        <w:rPr>
          <w:rFonts w:ascii="宋体" w:hAnsi="宋体"/>
          <w:sz w:val="24"/>
          <w:szCs w:val="24"/>
        </w:rPr>
        <w:t xml:space="preserve">  GB2900 电工名词术语  基本名词术语</w:t>
      </w:r>
    </w:p>
    <w:p>
      <w:pPr>
        <w:spacing w:line="400" w:lineRule="exact"/>
        <w:ind w:firstLine="480" w:firstLineChars="200"/>
        <w:rPr>
          <w:rFonts w:ascii="宋体" w:hAnsi="宋体"/>
          <w:sz w:val="24"/>
          <w:szCs w:val="24"/>
        </w:rPr>
      </w:pPr>
      <w:r>
        <w:rPr>
          <w:rFonts w:ascii="宋体" w:hAnsi="宋体"/>
          <w:sz w:val="24"/>
          <w:szCs w:val="24"/>
        </w:rPr>
        <w:t>2.2.1</w:t>
      </w:r>
      <w:r>
        <w:rPr>
          <w:rFonts w:hint="eastAsia" w:ascii="宋体" w:hAnsi="宋体"/>
          <w:sz w:val="24"/>
          <w:szCs w:val="24"/>
        </w:rPr>
        <w:t>1</w:t>
      </w:r>
      <w:r>
        <w:rPr>
          <w:rFonts w:ascii="宋体" w:hAnsi="宋体"/>
          <w:sz w:val="24"/>
          <w:szCs w:val="24"/>
        </w:rPr>
        <w:t xml:space="preserve">  GB3309 高压开关设备常温下的机械试验</w:t>
      </w:r>
    </w:p>
    <w:p>
      <w:pPr>
        <w:spacing w:line="400" w:lineRule="exact"/>
        <w:ind w:firstLine="480" w:firstLineChars="200"/>
        <w:rPr>
          <w:rFonts w:ascii="宋体" w:hAnsi="宋体"/>
          <w:sz w:val="24"/>
          <w:szCs w:val="24"/>
        </w:rPr>
      </w:pPr>
      <w:r>
        <w:rPr>
          <w:rFonts w:ascii="宋体" w:hAnsi="宋体"/>
          <w:sz w:val="24"/>
          <w:szCs w:val="24"/>
        </w:rPr>
        <w:t>2.2.1</w:t>
      </w:r>
      <w:r>
        <w:rPr>
          <w:rFonts w:hint="eastAsia" w:ascii="宋体" w:hAnsi="宋体"/>
          <w:sz w:val="24"/>
          <w:szCs w:val="24"/>
        </w:rPr>
        <w:t>2</w:t>
      </w:r>
      <w:r>
        <w:rPr>
          <w:rFonts w:ascii="宋体" w:hAnsi="宋体"/>
          <w:sz w:val="24"/>
          <w:szCs w:val="24"/>
        </w:rPr>
        <w:t xml:space="preserve">  GB7354 局部放电测量</w:t>
      </w:r>
    </w:p>
    <w:p>
      <w:pPr>
        <w:tabs>
          <w:tab w:val="left" w:pos="1155"/>
        </w:tabs>
        <w:spacing w:line="400" w:lineRule="exact"/>
        <w:ind w:firstLine="480" w:firstLineChars="200"/>
        <w:rPr>
          <w:rFonts w:ascii="宋体" w:hAnsi="宋体"/>
          <w:sz w:val="24"/>
          <w:szCs w:val="24"/>
        </w:rPr>
      </w:pPr>
      <w:r>
        <w:rPr>
          <w:rFonts w:ascii="宋体" w:hAnsi="宋体"/>
          <w:sz w:val="24"/>
          <w:szCs w:val="24"/>
        </w:rPr>
        <w:t>2.2.1</w:t>
      </w:r>
      <w:r>
        <w:rPr>
          <w:rFonts w:hint="eastAsia" w:ascii="宋体" w:hAnsi="宋体"/>
          <w:sz w:val="24"/>
          <w:szCs w:val="24"/>
        </w:rPr>
        <w:t>3</w:t>
      </w:r>
      <w:r>
        <w:rPr>
          <w:rFonts w:ascii="宋体" w:hAnsi="宋体"/>
          <w:sz w:val="24"/>
          <w:szCs w:val="24"/>
        </w:rPr>
        <w:t xml:space="preserve">  GB1985 交流高压隔离开关和接地开关</w:t>
      </w:r>
    </w:p>
    <w:p>
      <w:pPr>
        <w:spacing w:line="400" w:lineRule="exact"/>
        <w:ind w:firstLine="480" w:firstLineChars="200"/>
        <w:rPr>
          <w:rFonts w:ascii="宋体" w:hAnsi="宋体"/>
          <w:sz w:val="24"/>
          <w:szCs w:val="24"/>
        </w:rPr>
      </w:pPr>
      <w:r>
        <w:rPr>
          <w:rFonts w:ascii="宋体" w:hAnsi="宋体"/>
          <w:sz w:val="24"/>
          <w:szCs w:val="24"/>
        </w:rPr>
        <w:t>2.2.1</w:t>
      </w:r>
      <w:r>
        <w:rPr>
          <w:rFonts w:hint="eastAsia" w:ascii="宋体" w:hAnsi="宋体"/>
          <w:sz w:val="24"/>
          <w:szCs w:val="24"/>
        </w:rPr>
        <w:t>4</w:t>
      </w:r>
      <w:r>
        <w:rPr>
          <w:rFonts w:ascii="宋体" w:hAnsi="宋体"/>
          <w:sz w:val="24"/>
          <w:szCs w:val="24"/>
        </w:rPr>
        <w:t xml:space="preserve">  GB558</w:t>
      </w:r>
      <w:r>
        <w:rPr>
          <w:rFonts w:hint="eastAsia" w:ascii="宋体" w:hAnsi="宋体"/>
          <w:sz w:val="24"/>
          <w:szCs w:val="24"/>
        </w:rPr>
        <w:t>2</w:t>
      </w:r>
      <w:r>
        <w:rPr>
          <w:rFonts w:ascii="宋体" w:hAnsi="宋体"/>
          <w:sz w:val="24"/>
          <w:szCs w:val="24"/>
        </w:rPr>
        <w:t xml:space="preserve"> 高压电力设备外绝缘的防秽等级</w:t>
      </w:r>
    </w:p>
    <w:p>
      <w:pPr>
        <w:tabs>
          <w:tab w:val="left" w:pos="990"/>
        </w:tabs>
        <w:spacing w:line="400" w:lineRule="exact"/>
        <w:ind w:firstLine="480" w:firstLineChars="200"/>
        <w:rPr>
          <w:rFonts w:ascii="宋体" w:hAnsi="宋体"/>
          <w:sz w:val="24"/>
          <w:szCs w:val="24"/>
        </w:rPr>
      </w:pPr>
      <w:r>
        <w:rPr>
          <w:rFonts w:ascii="宋体" w:hAnsi="宋体"/>
          <w:sz w:val="24"/>
          <w:szCs w:val="24"/>
        </w:rPr>
        <w:t>2.2.1</w:t>
      </w:r>
      <w:r>
        <w:rPr>
          <w:rFonts w:hint="eastAsia" w:ascii="宋体" w:hAnsi="宋体"/>
          <w:sz w:val="24"/>
          <w:szCs w:val="24"/>
        </w:rPr>
        <w:t>5</w:t>
      </w:r>
      <w:r>
        <w:rPr>
          <w:rFonts w:ascii="宋体" w:hAnsi="宋体"/>
          <w:sz w:val="24"/>
          <w:szCs w:val="24"/>
        </w:rPr>
        <w:t xml:space="preserve">  DL/T486 交流高压隔离开关订货技术条件</w:t>
      </w:r>
    </w:p>
    <w:p>
      <w:pPr>
        <w:spacing w:line="400" w:lineRule="exact"/>
        <w:ind w:firstLine="480" w:firstLineChars="200"/>
        <w:rPr>
          <w:rFonts w:ascii="宋体" w:hAnsi="宋体"/>
          <w:sz w:val="24"/>
          <w:szCs w:val="24"/>
        </w:rPr>
      </w:pPr>
      <w:r>
        <w:rPr>
          <w:rFonts w:ascii="宋体" w:hAnsi="宋体"/>
          <w:sz w:val="24"/>
          <w:szCs w:val="24"/>
        </w:rPr>
        <w:t>2.2.</w:t>
      </w:r>
      <w:r>
        <w:rPr>
          <w:rFonts w:hint="eastAsia" w:ascii="宋体" w:hAnsi="宋体"/>
          <w:sz w:val="24"/>
          <w:szCs w:val="24"/>
        </w:rPr>
        <w:t>16</w:t>
      </w:r>
      <w:r>
        <w:rPr>
          <w:rFonts w:ascii="宋体" w:hAnsi="宋体"/>
          <w:sz w:val="24"/>
          <w:szCs w:val="24"/>
        </w:rPr>
        <w:t xml:space="preserve">  JJG311 高压输变电设备的绝缘与配合</w:t>
      </w:r>
    </w:p>
    <w:p>
      <w:pPr>
        <w:pStyle w:val="221"/>
        <w:spacing w:line="400" w:lineRule="exact"/>
        <w:ind w:firstLine="480"/>
        <w:rPr>
          <w:rFonts w:hAnsi="宋体" w:eastAsia="宋体"/>
          <w:sz w:val="24"/>
          <w:szCs w:val="24"/>
        </w:rPr>
      </w:pPr>
      <w:r>
        <w:rPr>
          <w:rFonts w:hint="eastAsia" w:hAnsi="宋体" w:eastAsia="宋体"/>
          <w:sz w:val="24"/>
          <w:szCs w:val="24"/>
        </w:rPr>
        <w:t xml:space="preserve">2.2.17  </w:t>
      </w:r>
      <w:r>
        <w:rPr>
          <w:rFonts w:hAnsi="宋体" w:eastAsia="宋体"/>
          <w:sz w:val="24"/>
          <w:szCs w:val="24"/>
        </w:rPr>
        <w:t>GB2900.12 电工名词术语  避雷器</w:t>
      </w:r>
    </w:p>
    <w:p>
      <w:pPr>
        <w:pStyle w:val="221"/>
        <w:spacing w:line="400" w:lineRule="exact"/>
        <w:ind w:firstLine="480"/>
        <w:rPr>
          <w:rFonts w:hAnsi="宋体" w:eastAsia="宋体"/>
          <w:sz w:val="24"/>
          <w:szCs w:val="24"/>
        </w:rPr>
      </w:pPr>
      <w:r>
        <w:rPr>
          <w:rFonts w:hint="eastAsia" w:hAnsi="宋体" w:eastAsia="宋体"/>
          <w:sz w:val="24"/>
          <w:szCs w:val="24"/>
        </w:rPr>
        <w:t xml:space="preserve">2.2.18  </w:t>
      </w:r>
      <w:r>
        <w:rPr>
          <w:rFonts w:hAnsi="宋体" w:eastAsia="宋体"/>
          <w:sz w:val="24"/>
          <w:szCs w:val="24"/>
        </w:rPr>
        <w:t xml:space="preserve">GB2900.19 电工名词术语 </w:t>
      </w:r>
      <w:r>
        <w:rPr>
          <w:rFonts w:hint="eastAsia" w:hAnsi="宋体" w:eastAsia="宋体"/>
          <w:sz w:val="24"/>
          <w:szCs w:val="24"/>
        </w:rPr>
        <w:t xml:space="preserve"> </w:t>
      </w:r>
      <w:r>
        <w:rPr>
          <w:rFonts w:hAnsi="宋体" w:eastAsia="宋体"/>
          <w:sz w:val="24"/>
          <w:szCs w:val="24"/>
        </w:rPr>
        <w:t>高电压试验技术和绝缘配合</w:t>
      </w:r>
    </w:p>
    <w:p>
      <w:pPr>
        <w:pStyle w:val="221"/>
        <w:spacing w:line="400" w:lineRule="exact"/>
        <w:ind w:firstLine="480"/>
        <w:rPr>
          <w:rFonts w:hAnsi="宋体" w:eastAsia="宋体"/>
          <w:sz w:val="24"/>
          <w:szCs w:val="24"/>
        </w:rPr>
      </w:pPr>
      <w:r>
        <w:rPr>
          <w:rFonts w:hint="eastAsia" w:hAnsi="宋体" w:eastAsia="宋体"/>
          <w:sz w:val="24"/>
          <w:szCs w:val="24"/>
        </w:rPr>
        <w:t xml:space="preserve">2.2.19  </w:t>
      </w:r>
      <w:r>
        <w:rPr>
          <w:rFonts w:hAnsi="宋体" w:eastAsia="宋体"/>
          <w:sz w:val="24"/>
          <w:szCs w:val="24"/>
        </w:rPr>
        <w:t>GB16434 高压架空线路和发电厂、变电所环境污区分级及外绝缘选择标准</w:t>
      </w:r>
    </w:p>
    <w:p>
      <w:pPr>
        <w:pStyle w:val="221"/>
        <w:spacing w:line="400" w:lineRule="exact"/>
        <w:ind w:firstLine="480"/>
        <w:rPr>
          <w:rFonts w:hAnsi="宋体" w:eastAsia="宋体"/>
          <w:sz w:val="24"/>
          <w:szCs w:val="24"/>
        </w:rPr>
      </w:pPr>
      <w:r>
        <w:rPr>
          <w:rFonts w:hint="eastAsia" w:hAnsi="宋体" w:eastAsia="宋体"/>
          <w:sz w:val="24"/>
          <w:szCs w:val="24"/>
        </w:rPr>
        <w:t xml:space="preserve">2.2.20  </w:t>
      </w:r>
      <w:r>
        <w:rPr>
          <w:rFonts w:hAnsi="宋体" w:eastAsia="宋体"/>
          <w:sz w:val="24"/>
          <w:szCs w:val="24"/>
        </w:rPr>
        <w:t>GB/T16927  高电压试验技术  第一部分：一般试验方法</w:t>
      </w:r>
    </w:p>
    <w:p>
      <w:pPr>
        <w:pStyle w:val="221"/>
        <w:spacing w:line="400" w:lineRule="exact"/>
        <w:ind w:firstLine="480"/>
        <w:rPr>
          <w:rFonts w:hAnsi="宋体" w:eastAsia="宋体"/>
          <w:sz w:val="24"/>
          <w:szCs w:val="24"/>
        </w:rPr>
      </w:pPr>
      <w:r>
        <w:rPr>
          <w:rFonts w:hint="eastAsia" w:hAnsi="宋体" w:eastAsia="宋体"/>
          <w:sz w:val="24"/>
          <w:szCs w:val="24"/>
        </w:rPr>
        <w:t xml:space="preserve">2.2.21  </w:t>
      </w:r>
      <w:r>
        <w:rPr>
          <w:rFonts w:hAnsi="宋体" w:eastAsia="宋体"/>
          <w:sz w:val="24"/>
          <w:szCs w:val="24"/>
        </w:rPr>
        <w:t>GB50150 电气装置安装工程电气设备交接试验标准</w:t>
      </w:r>
    </w:p>
    <w:p>
      <w:pPr>
        <w:pStyle w:val="221"/>
        <w:spacing w:line="400" w:lineRule="exact"/>
        <w:ind w:firstLine="480"/>
        <w:rPr>
          <w:rFonts w:hAnsi="宋体" w:eastAsia="宋体"/>
          <w:sz w:val="24"/>
          <w:szCs w:val="24"/>
        </w:rPr>
      </w:pPr>
      <w:r>
        <w:rPr>
          <w:rFonts w:hint="eastAsia" w:hAnsi="宋体" w:eastAsia="宋体"/>
          <w:sz w:val="24"/>
          <w:szCs w:val="24"/>
        </w:rPr>
        <w:t xml:space="preserve">2.2.22  </w:t>
      </w:r>
      <w:r>
        <w:rPr>
          <w:rFonts w:hAnsi="宋体" w:eastAsia="宋体"/>
          <w:sz w:val="24"/>
          <w:szCs w:val="24"/>
        </w:rPr>
        <w:t>DL474  现场绝缘试验实施导则  避雷器试验</w:t>
      </w:r>
    </w:p>
    <w:p>
      <w:pPr>
        <w:pStyle w:val="221"/>
        <w:spacing w:line="400" w:lineRule="exact"/>
        <w:ind w:firstLine="480"/>
        <w:rPr>
          <w:rFonts w:hAnsi="宋体" w:eastAsia="宋体"/>
          <w:sz w:val="24"/>
          <w:szCs w:val="24"/>
        </w:rPr>
      </w:pPr>
      <w:r>
        <w:rPr>
          <w:rFonts w:hint="eastAsia" w:hAnsi="宋体" w:eastAsia="宋体"/>
          <w:sz w:val="24"/>
          <w:szCs w:val="24"/>
        </w:rPr>
        <w:t xml:space="preserve">2.2.23  </w:t>
      </w:r>
      <w:r>
        <w:rPr>
          <w:rFonts w:hAnsi="宋体" w:eastAsia="宋体"/>
          <w:sz w:val="24"/>
          <w:szCs w:val="24"/>
        </w:rPr>
        <w:t>DL/T620  交流电气装置的过电压保护和绝缘配合</w:t>
      </w:r>
    </w:p>
    <w:p>
      <w:pPr>
        <w:pStyle w:val="221"/>
        <w:spacing w:line="400" w:lineRule="exact"/>
        <w:ind w:firstLine="480"/>
        <w:rPr>
          <w:rFonts w:hAnsi="宋体" w:eastAsia="宋体"/>
          <w:sz w:val="24"/>
          <w:szCs w:val="24"/>
        </w:rPr>
      </w:pPr>
      <w:r>
        <w:rPr>
          <w:rFonts w:hint="eastAsia" w:hAnsi="宋体" w:eastAsia="宋体"/>
          <w:sz w:val="24"/>
          <w:szCs w:val="24"/>
        </w:rPr>
        <w:t xml:space="preserve">2.2.24  </w:t>
      </w:r>
      <w:r>
        <w:rPr>
          <w:rFonts w:hAnsi="宋体" w:eastAsia="宋体"/>
          <w:sz w:val="24"/>
          <w:szCs w:val="24"/>
        </w:rPr>
        <w:t>DL/T804 交流电力系统金属氧化物避雷器使用导则</w:t>
      </w:r>
    </w:p>
    <w:p>
      <w:pPr>
        <w:pStyle w:val="221"/>
        <w:spacing w:line="400" w:lineRule="exact"/>
        <w:ind w:firstLine="480"/>
        <w:rPr>
          <w:rFonts w:hAnsi="宋体" w:eastAsia="宋体"/>
          <w:sz w:val="24"/>
          <w:szCs w:val="24"/>
        </w:rPr>
      </w:pPr>
      <w:r>
        <w:rPr>
          <w:rFonts w:hint="eastAsia" w:hAnsi="宋体" w:eastAsia="宋体"/>
          <w:sz w:val="24"/>
          <w:szCs w:val="24"/>
        </w:rPr>
        <w:t xml:space="preserve">2.2.25  </w:t>
      </w:r>
      <w:r>
        <w:rPr>
          <w:rFonts w:hAnsi="宋体" w:eastAsia="宋体"/>
          <w:sz w:val="24"/>
          <w:szCs w:val="24"/>
        </w:rPr>
        <w:t>DL/T864  标称电压高于1000V交流架空线路用复合绝缘子使用导则</w:t>
      </w:r>
    </w:p>
    <w:p>
      <w:pPr>
        <w:pStyle w:val="221"/>
        <w:spacing w:line="400" w:lineRule="exact"/>
        <w:ind w:firstLine="480"/>
        <w:rPr>
          <w:rFonts w:hAnsi="宋体" w:eastAsia="宋体"/>
          <w:sz w:val="24"/>
          <w:szCs w:val="24"/>
        </w:rPr>
      </w:pPr>
      <w:r>
        <w:rPr>
          <w:rFonts w:hint="eastAsia" w:hAnsi="宋体" w:eastAsia="宋体"/>
          <w:sz w:val="24"/>
          <w:szCs w:val="24"/>
        </w:rPr>
        <w:t xml:space="preserve">2.2.26  </w:t>
      </w:r>
      <w:r>
        <w:rPr>
          <w:rFonts w:hAnsi="宋体" w:eastAsia="宋体"/>
          <w:sz w:val="24"/>
          <w:szCs w:val="24"/>
        </w:rPr>
        <w:t>JB2440 避雷器用放电计数器</w:t>
      </w:r>
    </w:p>
    <w:p>
      <w:pPr>
        <w:pStyle w:val="221"/>
        <w:spacing w:line="400" w:lineRule="exact"/>
        <w:ind w:firstLine="480"/>
        <w:rPr>
          <w:rFonts w:hAnsi="宋体" w:eastAsia="宋体"/>
          <w:sz w:val="24"/>
          <w:szCs w:val="24"/>
        </w:rPr>
      </w:pPr>
      <w:r>
        <w:rPr>
          <w:rFonts w:hint="eastAsia" w:hAnsi="宋体" w:eastAsia="宋体"/>
          <w:sz w:val="24"/>
          <w:szCs w:val="24"/>
        </w:rPr>
        <w:t xml:space="preserve">2.2.27  </w:t>
      </w:r>
      <w:r>
        <w:rPr>
          <w:rFonts w:hAnsi="宋体" w:eastAsia="宋体"/>
          <w:sz w:val="24"/>
          <w:szCs w:val="24"/>
        </w:rPr>
        <w:t>JB/T8177</w:t>
      </w:r>
      <w:r>
        <w:rPr>
          <w:rFonts w:hint="eastAsia" w:hAnsi="宋体" w:eastAsia="宋体"/>
          <w:sz w:val="24"/>
          <w:szCs w:val="24"/>
        </w:rPr>
        <w:t xml:space="preserve"> </w:t>
      </w:r>
      <w:r>
        <w:rPr>
          <w:rFonts w:hAnsi="宋体" w:eastAsia="宋体"/>
          <w:sz w:val="24"/>
          <w:szCs w:val="24"/>
        </w:rPr>
        <w:t>绝缘子金属附件热镀锌层 通用技术条件</w:t>
      </w:r>
    </w:p>
    <w:p>
      <w:pPr>
        <w:pStyle w:val="221"/>
        <w:spacing w:line="400" w:lineRule="exact"/>
        <w:ind w:firstLine="480"/>
        <w:rPr>
          <w:rFonts w:hAnsi="宋体" w:eastAsia="宋体"/>
          <w:sz w:val="24"/>
          <w:szCs w:val="24"/>
        </w:rPr>
      </w:pPr>
      <w:r>
        <w:rPr>
          <w:rFonts w:hint="eastAsia" w:hAnsi="宋体" w:eastAsia="宋体"/>
          <w:sz w:val="24"/>
          <w:szCs w:val="24"/>
        </w:rPr>
        <w:t xml:space="preserve">2.2.28  </w:t>
      </w:r>
      <w:r>
        <w:rPr>
          <w:rFonts w:hAnsi="宋体" w:eastAsia="宋体"/>
          <w:sz w:val="24"/>
          <w:szCs w:val="24"/>
        </w:rPr>
        <w:t>JB/T 8460 高压线路用棒形复合绝缘子  尺寸与特性</w:t>
      </w:r>
    </w:p>
    <w:p>
      <w:pPr>
        <w:pStyle w:val="221"/>
        <w:spacing w:line="400" w:lineRule="exact"/>
        <w:ind w:firstLine="480"/>
        <w:rPr>
          <w:rFonts w:hAnsi="宋体" w:eastAsia="宋体"/>
          <w:sz w:val="24"/>
          <w:szCs w:val="24"/>
        </w:rPr>
      </w:pPr>
      <w:r>
        <w:rPr>
          <w:rFonts w:hint="eastAsia" w:hAnsi="宋体" w:eastAsia="宋体"/>
          <w:sz w:val="24"/>
          <w:szCs w:val="24"/>
        </w:rPr>
        <w:t xml:space="preserve">2.2.29  </w:t>
      </w:r>
      <w:r>
        <w:rPr>
          <w:rFonts w:hAnsi="宋体" w:eastAsia="宋体"/>
          <w:sz w:val="24"/>
          <w:szCs w:val="24"/>
        </w:rPr>
        <w:t>JB/T 9669  避雷器用橡胶密封件及材料规范</w:t>
      </w:r>
    </w:p>
    <w:p>
      <w:pPr>
        <w:pStyle w:val="221"/>
        <w:spacing w:line="400" w:lineRule="exact"/>
        <w:ind w:firstLine="480"/>
        <w:rPr>
          <w:rFonts w:hAnsi="宋体" w:eastAsia="宋体"/>
          <w:sz w:val="24"/>
          <w:szCs w:val="24"/>
        </w:rPr>
      </w:pPr>
      <w:r>
        <w:rPr>
          <w:rFonts w:hint="eastAsia" w:hAnsi="宋体" w:eastAsia="宋体"/>
          <w:sz w:val="24"/>
          <w:szCs w:val="24"/>
        </w:rPr>
        <w:t xml:space="preserve">2.2.30  </w:t>
      </w:r>
      <w:r>
        <w:rPr>
          <w:rFonts w:hAnsi="宋体" w:eastAsia="宋体"/>
          <w:sz w:val="24"/>
          <w:szCs w:val="24"/>
        </w:rPr>
        <w:t>JB/T 9670  金属氧化物避雷器电阻片用氧化锌</w:t>
      </w:r>
    </w:p>
    <w:p>
      <w:pPr>
        <w:pStyle w:val="221"/>
        <w:spacing w:line="400" w:lineRule="exact"/>
        <w:ind w:firstLine="480"/>
        <w:rPr>
          <w:rFonts w:hAnsi="宋体" w:eastAsia="宋体"/>
          <w:sz w:val="24"/>
          <w:szCs w:val="24"/>
        </w:rPr>
      </w:pPr>
      <w:r>
        <w:rPr>
          <w:rFonts w:hint="eastAsia" w:hAnsi="宋体" w:eastAsia="宋体"/>
          <w:sz w:val="24"/>
          <w:szCs w:val="24"/>
        </w:rPr>
        <w:t xml:space="preserve">2.2.31  </w:t>
      </w:r>
      <w:r>
        <w:rPr>
          <w:rFonts w:hAnsi="宋体" w:eastAsia="宋体"/>
          <w:sz w:val="24"/>
          <w:szCs w:val="24"/>
        </w:rPr>
        <w:t>国家电网公司电力生产设备评估管理办法（生产输电[2003]95号）</w:t>
      </w:r>
    </w:p>
    <w:p>
      <w:pPr>
        <w:pStyle w:val="221"/>
        <w:spacing w:line="400" w:lineRule="exact"/>
        <w:ind w:firstLine="480"/>
        <w:rPr>
          <w:rFonts w:hAnsi="宋体" w:eastAsia="宋体"/>
          <w:sz w:val="24"/>
          <w:szCs w:val="24"/>
        </w:rPr>
      </w:pPr>
      <w:r>
        <w:rPr>
          <w:rFonts w:hint="eastAsia" w:hAnsi="宋体" w:eastAsia="宋体"/>
          <w:sz w:val="24"/>
          <w:szCs w:val="24"/>
        </w:rPr>
        <w:t xml:space="preserve">2.2.32  </w:t>
      </w:r>
      <w:r>
        <w:rPr>
          <w:rFonts w:hAnsi="宋体" w:eastAsia="宋体"/>
          <w:sz w:val="24"/>
          <w:szCs w:val="24"/>
        </w:rPr>
        <w:fldChar w:fldCharType="begin"/>
      </w:r>
      <w:r>
        <w:rPr>
          <w:rFonts w:hAnsi="宋体" w:eastAsia="宋体"/>
          <w:sz w:val="24"/>
          <w:szCs w:val="24"/>
        </w:rPr>
        <w:instrText xml:space="preserve"> MERGEFIELD 文件标题 </w:instrText>
      </w:r>
      <w:r>
        <w:rPr>
          <w:rFonts w:hAnsi="宋体" w:eastAsia="宋体"/>
          <w:sz w:val="24"/>
          <w:szCs w:val="24"/>
        </w:rPr>
        <w:fldChar w:fldCharType="separate"/>
      </w:r>
      <w:r>
        <w:rPr>
          <w:rFonts w:hAnsi="宋体" w:eastAsia="宋体"/>
          <w:sz w:val="24"/>
          <w:szCs w:val="24"/>
        </w:rPr>
        <w:t>国家电网公司关于加强电力生产技术监督工作意见</w:t>
      </w:r>
      <w:r>
        <w:rPr>
          <w:rFonts w:hAnsi="宋体" w:eastAsia="宋体"/>
          <w:sz w:val="24"/>
          <w:szCs w:val="24"/>
        </w:rPr>
        <w:fldChar w:fldCharType="end"/>
      </w:r>
      <w:r>
        <w:rPr>
          <w:rFonts w:hAnsi="宋体" w:eastAsia="宋体"/>
          <w:sz w:val="24"/>
          <w:szCs w:val="24"/>
        </w:rPr>
        <w:t>（生产输电[2003]29号）</w:t>
      </w:r>
    </w:p>
    <w:p>
      <w:pPr>
        <w:pStyle w:val="221"/>
        <w:spacing w:line="400" w:lineRule="exact"/>
        <w:ind w:firstLine="480"/>
        <w:rPr>
          <w:rFonts w:hAnsi="宋体" w:eastAsia="宋体"/>
          <w:sz w:val="24"/>
          <w:szCs w:val="24"/>
        </w:rPr>
      </w:pPr>
      <w:r>
        <w:rPr>
          <w:rFonts w:hint="eastAsia" w:hAnsi="宋体" w:eastAsia="宋体"/>
          <w:sz w:val="24"/>
          <w:szCs w:val="24"/>
        </w:rPr>
        <w:t xml:space="preserve">2.2.33  </w:t>
      </w:r>
      <w:r>
        <w:rPr>
          <w:rFonts w:hAnsi="宋体" w:eastAsia="宋体"/>
          <w:sz w:val="24"/>
          <w:szCs w:val="24"/>
        </w:rPr>
        <w:t>国家电网公司预防110（66）kV～750kV避雷器事故措施（国家电网生[2004]641号）</w:t>
      </w:r>
    </w:p>
    <w:p>
      <w:pPr>
        <w:spacing w:line="400" w:lineRule="exact"/>
        <w:ind w:firstLine="480" w:firstLineChars="200"/>
        <w:rPr>
          <w:rFonts w:ascii="宋体" w:hAnsi="宋体"/>
          <w:sz w:val="24"/>
          <w:szCs w:val="24"/>
        </w:rPr>
      </w:pPr>
      <w:r>
        <w:rPr>
          <w:rFonts w:ascii="宋体" w:hAnsi="宋体"/>
          <w:sz w:val="24"/>
          <w:szCs w:val="24"/>
        </w:rPr>
        <w:t>2.2.</w:t>
      </w:r>
      <w:r>
        <w:rPr>
          <w:rFonts w:hint="eastAsia" w:ascii="宋体" w:hAnsi="宋体"/>
          <w:sz w:val="24"/>
          <w:szCs w:val="24"/>
        </w:rPr>
        <w:t>34</w:t>
      </w:r>
      <w:r>
        <w:rPr>
          <w:rFonts w:ascii="宋体" w:hAnsi="宋体"/>
          <w:sz w:val="24"/>
          <w:szCs w:val="24"/>
        </w:rPr>
        <w:t xml:space="preserve">  GB11032 《交流无间隙金属氧化物避雷器》</w:t>
      </w:r>
    </w:p>
    <w:p>
      <w:pPr>
        <w:spacing w:line="400" w:lineRule="exact"/>
        <w:ind w:firstLine="480" w:firstLineChars="200"/>
        <w:rPr>
          <w:rFonts w:ascii="宋体" w:hAnsi="宋体"/>
          <w:sz w:val="24"/>
          <w:szCs w:val="24"/>
        </w:rPr>
      </w:pPr>
      <w:r>
        <w:rPr>
          <w:rFonts w:ascii="宋体" w:hAnsi="宋体"/>
          <w:sz w:val="24"/>
          <w:szCs w:val="24"/>
        </w:rPr>
        <w:t>2.2.</w:t>
      </w:r>
      <w:r>
        <w:rPr>
          <w:rFonts w:hint="eastAsia" w:ascii="宋体" w:hAnsi="宋体"/>
          <w:sz w:val="24"/>
          <w:szCs w:val="24"/>
        </w:rPr>
        <w:t>35</w:t>
      </w:r>
      <w:r>
        <w:rPr>
          <w:rFonts w:ascii="宋体" w:hAnsi="宋体"/>
          <w:sz w:val="24"/>
          <w:szCs w:val="24"/>
        </w:rPr>
        <w:t xml:space="preserve">  GB11064 《高压电器设备无线电干扰测试方法》</w:t>
      </w:r>
    </w:p>
    <w:p>
      <w:pPr>
        <w:spacing w:line="400" w:lineRule="exact"/>
        <w:ind w:firstLine="480" w:firstLineChars="200"/>
        <w:rPr>
          <w:rFonts w:ascii="宋体" w:hAnsi="宋体"/>
          <w:sz w:val="24"/>
          <w:szCs w:val="24"/>
        </w:rPr>
      </w:pPr>
      <w:r>
        <w:rPr>
          <w:rFonts w:hint="eastAsia" w:ascii="宋体" w:hAnsi="宋体"/>
          <w:sz w:val="24"/>
          <w:szCs w:val="24"/>
        </w:rPr>
        <w:t>国家电网发布的十八项重大反事故措施以及其他相关的规程、规范、都是必须执行的。</w:t>
      </w:r>
    </w:p>
    <w:p>
      <w:pPr>
        <w:bidi w:val="0"/>
        <w:rPr>
          <w:rFonts w:hint="eastAsia" w:ascii="宋体" w:hAnsi="宋体" w:eastAsia="宋体" w:cs="宋体"/>
          <w:b/>
          <w:bCs/>
          <w:sz w:val="24"/>
          <w:szCs w:val="24"/>
        </w:rPr>
      </w:pPr>
      <w:bookmarkStart w:id="74" w:name="_Toc31791909"/>
      <w:r>
        <w:rPr>
          <w:rFonts w:hint="eastAsia" w:ascii="宋体" w:hAnsi="宋体" w:eastAsia="宋体" w:cs="宋体"/>
          <w:b/>
          <w:bCs/>
          <w:sz w:val="24"/>
          <w:szCs w:val="24"/>
        </w:rPr>
        <w:t>3 环境条件</w:t>
      </w:r>
      <w:bookmarkEnd w:id="74"/>
    </w:p>
    <w:p>
      <w:pPr>
        <w:spacing w:line="400" w:lineRule="exact"/>
        <w:ind w:firstLine="480" w:firstLineChars="200"/>
        <w:rPr>
          <w:rFonts w:ascii="宋体" w:hAnsi="宋体"/>
          <w:sz w:val="24"/>
          <w:szCs w:val="24"/>
        </w:rPr>
      </w:pPr>
      <w:r>
        <w:rPr>
          <w:rFonts w:ascii="宋体" w:hAnsi="宋体"/>
          <w:sz w:val="24"/>
          <w:szCs w:val="24"/>
        </w:rPr>
        <w:t>3.1周围空气温度</w:t>
      </w:r>
    </w:p>
    <w:p>
      <w:pPr>
        <w:spacing w:line="400" w:lineRule="exact"/>
        <w:ind w:firstLine="480" w:firstLineChars="200"/>
        <w:rPr>
          <w:rFonts w:ascii="宋体" w:hAnsi="宋体"/>
          <w:sz w:val="24"/>
          <w:szCs w:val="24"/>
        </w:rPr>
      </w:pPr>
      <w:r>
        <w:rPr>
          <w:rFonts w:ascii="宋体" w:hAnsi="宋体"/>
          <w:sz w:val="24"/>
          <w:szCs w:val="24"/>
        </w:rPr>
        <w:t xml:space="preserve">最高温度：    </w:t>
      </w:r>
      <w:r>
        <w:rPr>
          <w:rFonts w:ascii="宋体" w:hAnsi="宋体"/>
          <w:sz w:val="24"/>
          <w:szCs w:val="24"/>
          <w:u w:val="single"/>
        </w:rPr>
        <w:t xml:space="preserve">  </w:t>
      </w:r>
      <w:r>
        <w:rPr>
          <w:rFonts w:hint="eastAsia" w:ascii="宋体" w:hAnsi="宋体"/>
          <w:sz w:val="24"/>
          <w:szCs w:val="24"/>
          <w:u w:val="single"/>
        </w:rPr>
        <w:t>40</w:t>
      </w:r>
      <w:r>
        <w:rPr>
          <w:rFonts w:ascii="宋体" w:hAnsi="宋体"/>
          <w:sz w:val="24"/>
          <w:szCs w:val="24"/>
          <w:u w:val="single"/>
        </w:rPr>
        <w:t xml:space="preserve"> </w:t>
      </w:r>
      <w:r>
        <w:rPr>
          <w:rFonts w:ascii="宋体" w:hAnsi="宋体"/>
          <w:sz w:val="24"/>
          <w:szCs w:val="24"/>
        </w:rPr>
        <w:t xml:space="preserve">  ℃</w:t>
      </w:r>
    </w:p>
    <w:p>
      <w:pPr>
        <w:spacing w:line="400" w:lineRule="exact"/>
        <w:ind w:firstLine="480" w:firstLineChars="200"/>
        <w:rPr>
          <w:rFonts w:ascii="宋体" w:hAnsi="宋体"/>
          <w:sz w:val="24"/>
          <w:szCs w:val="24"/>
        </w:rPr>
      </w:pPr>
      <w:r>
        <w:rPr>
          <w:rFonts w:ascii="宋体" w:hAnsi="宋体"/>
          <w:sz w:val="24"/>
          <w:szCs w:val="24"/>
        </w:rPr>
        <w:t xml:space="preserve">最低温度：    </w:t>
      </w:r>
      <w:r>
        <w:rPr>
          <w:rFonts w:ascii="宋体" w:hAnsi="宋体"/>
          <w:sz w:val="24"/>
          <w:szCs w:val="24"/>
          <w:u w:val="single"/>
        </w:rPr>
        <w:t xml:space="preserve"> -</w:t>
      </w:r>
      <w:r>
        <w:rPr>
          <w:rFonts w:hint="eastAsia" w:ascii="宋体" w:hAnsi="宋体"/>
          <w:sz w:val="24"/>
          <w:szCs w:val="24"/>
          <w:u w:val="single"/>
        </w:rPr>
        <w:t>40</w:t>
      </w:r>
      <w:r>
        <w:rPr>
          <w:rFonts w:ascii="宋体" w:hAnsi="宋体"/>
          <w:sz w:val="24"/>
          <w:szCs w:val="24"/>
          <w:u w:val="single"/>
        </w:rPr>
        <w:t xml:space="preserve"> </w:t>
      </w:r>
      <w:r>
        <w:rPr>
          <w:rFonts w:ascii="宋体" w:hAnsi="宋体"/>
          <w:sz w:val="24"/>
          <w:szCs w:val="24"/>
        </w:rPr>
        <w:t xml:space="preserve">  ℃</w:t>
      </w:r>
    </w:p>
    <w:p>
      <w:pPr>
        <w:spacing w:line="400" w:lineRule="exact"/>
        <w:ind w:firstLine="480" w:firstLineChars="200"/>
        <w:rPr>
          <w:rFonts w:ascii="宋体" w:hAnsi="宋体"/>
          <w:sz w:val="24"/>
          <w:szCs w:val="24"/>
        </w:rPr>
      </w:pPr>
      <w:r>
        <w:rPr>
          <w:rFonts w:ascii="宋体" w:hAnsi="宋体"/>
          <w:sz w:val="24"/>
          <w:szCs w:val="24"/>
        </w:rPr>
        <w:t xml:space="preserve">最大日温差：  </w:t>
      </w:r>
      <w:r>
        <w:rPr>
          <w:rFonts w:ascii="宋体" w:hAnsi="宋体"/>
          <w:sz w:val="24"/>
          <w:szCs w:val="24"/>
          <w:u w:val="single"/>
        </w:rPr>
        <w:t xml:space="preserve">  25 </w:t>
      </w:r>
      <w:r>
        <w:rPr>
          <w:rFonts w:ascii="宋体" w:hAnsi="宋体"/>
          <w:sz w:val="24"/>
          <w:szCs w:val="24"/>
        </w:rPr>
        <w:t xml:space="preserve">  K</w:t>
      </w:r>
    </w:p>
    <w:p>
      <w:pPr>
        <w:spacing w:line="400" w:lineRule="exact"/>
        <w:ind w:firstLine="480" w:firstLineChars="200"/>
        <w:rPr>
          <w:rFonts w:ascii="宋体" w:hAnsi="宋体"/>
          <w:sz w:val="24"/>
          <w:szCs w:val="24"/>
        </w:rPr>
      </w:pPr>
      <w:r>
        <w:rPr>
          <w:rFonts w:ascii="宋体" w:hAnsi="宋体"/>
          <w:sz w:val="24"/>
          <w:szCs w:val="24"/>
        </w:rPr>
        <w:t xml:space="preserve">日照强度：    </w:t>
      </w:r>
      <w:r>
        <w:rPr>
          <w:rFonts w:ascii="宋体" w:hAnsi="宋体"/>
          <w:sz w:val="24"/>
          <w:szCs w:val="24"/>
          <w:u w:val="single"/>
        </w:rPr>
        <w:t xml:space="preserve"> 0.1</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 xml:space="preserve">  W/cm</w:t>
      </w:r>
      <w:r>
        <w:rPr>
          <w:rFonts w:ascii="宋体" w:hAnsi="宋体"/>
          <w:sz w:val="24"/>
          <w:szCs w:val="24"/>
          <w:vertAlign w:val="superscript"/>
        </w:rPr>
        <w:t>2</w:t>
      </w:r>
      <w:r>
        <w:rPr>
          <w:rFonts w:ascii="宋体" w:hAnsi="宋体"/>
          <w:sz w:val="24"/>
          <w:szCs w:val="24"/>
        </w:rPr>
        <w:t>(风速不大于0.5m/s时)</w:t>
      </w:r>
    </w:p>
    <w:p>
      <w:pPr>
        <w:spacing w:line="400" w:lineRule="exact"/>
        <w:ind w:firstLine="480" w:firstLineChars="200"/>
        <w:rPr>
          <w:rFonts w:ascii="宋体" w:hAnsi="宋体"/>
          <w:sz w:val="24"/>
          <w:szCs w:val="24"/>
        </w:rPr>
      </w:pPr>
      <w:r>
        <w:rPr>
          <w:rFonts w:ascii="宋体" w:hAnsi="宋体"/>
          <w:sz w:val="24"/>
          <w:szCs w:val="24"/>
        </w:rPr>
        <w:t xml:space="preserve">3.2 海拔高度：     </w:t>
      </w:r>
      <w:r>
        <w:rPr>
          <w:rFonts w:ascii="宋体" w:hAnsi="宋体"/>
          <w:sz w:val="24"/>
          <w:szCs w:val="24"/>
          <w:u w:val="single"/>
        </w:rPr>
        <w:t xml:space="preserve"> ≤1000  </w:t>
      </w:r>
      <w:r>
        <w:rPr>
          <w:rFonts w:ascii="宋体" w:hAnsi="宋体"/>
          <w:sz w:val="24"/>
          <w:szCs w:val="24"/>
        </w:rPr>
        <w:t xml:space="preserve">  m   </w:t>
      </w:r>
    </w:p>
    <w:p>
      <w:pPr>
        <w:spacing w:line="400" w:lineRule="exact"/>
        <w:ind w:firstLine="480" w:firstLineChars="200"/>
        <w:rPr>
          <w:rFonts w:ascii="宋体" w:hAnsi="宋体"/>
          <w:sz w:val="24"/>
          <w:szCs w:val="24"/>
        </w:rPr>
      </w:pPr>
      <w:r>
        <w:rPr>
          <w:rFonts w:ascii="宋体" w:hAnsi="宋体"/>
          <w:sz w:val="24"/>
          <w:szCs w:val="24"/>
        </w:rPr>
        <w:t xml:space="preserve">3.3最大风速：     </w:t>
      </w:r>
      <w:r>
        <w:rPr>
          <w:rFonts w:ascii="宋体" w:hAnsi="宋体"/>
          <w:sz w:val="24"/>
          <w:szCs w:val="24"/>
          <w:u w:val="single"/>
        </w:rPr>
        <w:t xml:space="preserve">    2</w:t>
      </w:r>
      <w:r>
        <w:rPr>
          <w:rFonts w:hint="eastAsia" w:ascii="宋体" w:hAnsi="宋体"/>
          <w:sz w:val="24"/>
          <w:szCs w:val="24"/>
          <w:u w:val="single"/>
        </w:rPr>
        <w:t>5</w:t>
      </w:r>
      <w:r>
        <w:rPr>
          <w:rFonts w:ascii="宋体" w:hAnsi="宋体"/>
          <w:sz w:val="24"/>
          <w:szCs w:val="24"/>
          <w:u w:val="single"/>
        </w:rPr>
        <w:t xml:space="preserve">   </w:t>
      </w:r>
      <w:r>
        <w:rPr>
          <w:rFonts w:ascii="宋体" w:hAnsi="宋体"/>
          <w:sz w:val="24"/>
          <w:szCs w:val="24"/>
        </w:rPr>
        <w:t xml:space="preserve">  m/s    </w:t>
      </w:r>
    </w:p>
    <w:p>
      <w:pPr>
        <w:spacing w:line="400" w:lineRule="exact"/>
        <w:ind w:firstLine="480" w:firstLineChars="200"/>
        <w:rPr>
          <w:rFonts w:ascii="宋体" w:hAnsi="宋体"/>
          <w:sz w:val="24"/>
          <w:szCs w:val="24"/>
        </w:rPr>
      </w:pPr>
      <w:r>
        <w:rPr>
          <w:rFonts w:ascii="宋体" w:hAnsi="宋体"/>
          <w:sz w:val="24"/>
          <w:szCs w:val="24"/>
        </w:rPr>
        <w:t xml:space="preserve">3.4环境相对湿度（在25℃时）： </w:t>
      </w:r>
      <w:r>
        <w:rPr>
          <w:rFonts w:ascii="宋体" w:hAnsi="宋体"/>
          <w:sz w:val="24"/>
          <w:szCs w:val="24"/>
          <w:u w:val="single"/>
        </w:rPr>
        <w:t xml:space="preserve">   90  </w:t>
      </w:r>
      <w:r>
        <w:rPr>
          <w:rFonts w:ascii="宋体" w:hAnsi="宋体"/>
          <w:sz w:val="24"/>
          <w:szCs w:val="24"/>
        </w:rPr>
        <w:t xml:space="preserve">  %  </w:t>
      </w:r>
    </w:p>
    <w:p>
      <w:pPr>
        <w:spacing w:line="400" w:lineRule="exact"/>
        <w:ind w:firstLine="480" w:firstLineChars="200"/>
        <w:rPr>
          <w:rFonts w:ascii="宋体" w:hAnsi="宋体"/>
          <w:sz w:val="24"/>
          <w:szCs w:val="24"/>
        </w:rPr>
      </w:pPr>
      <w:r>
        <w:rPr>
          <w:rFonts w:ascii="宋体" w:hAnsi="宋体"/>
          <w:sz w:val="24"/>
          <w:szCs w:val="24"/>
        </w:rPr>
        <w:t xml:space="preserve">3.5地震烈度：     </w:t>
      </w:r>
      <w:r>
        <w:rPr>
          <w:rFonts w:ascii="宋体" w:hAnsi="宋体"/>
          <w:sz w:val="24"/>
          <w:szCs w:val="24"/>
          <w:u w:val="single"/>
        </w:rPr>
        <w:t xml:space="preserve">  Ⅶ    </w:t>
      </w:r>
      <w:r>
        <w:rPr>
          <w:rFonts w:ascii="宋体" w:hAnsi="宋体"/>
          <w:sz w:val="24"/>
          <w:szCs w:val="24"/>
        </w:rPr>
        <w:t xml:space="preserve">  度  </w:t>
      </w:r>
    </w:p>
    <w:p>
      <w:pPr>
        <w:spacing w:line="400" w:lineRule="exact"/>
        <w:ind w:firstLine="480" w:firstLineChars="200"/>
        <w:rPr>
          <w:rFonts w:ascii="宋体" w:hAnsi="宋体"/>
          <w:sz w:val="24"/>
          <w:szCs w:val="24"/>
        </w:rPr>
      </w:pPr>
      <w:r>
        <w:rPr>
          <w:rFonts w:ascii="宋体" w:hAnsi="宋体"/>
          <w:sz w:val="24"/>
          <w:szCs w:val="24"/>
        </w:rPr>
        <w:t xml:space="preserve">3.6污秽等级：     </w:t>
      </w:r>
      <w:r>
        <w:rPr>
          <w:rFonts w:ascii="宋体" w:hAnsi="宋体"/>
          <w:sz w:val="24"/>
          <w:szCs w:val="24"/>
          <w:u w:val="single"/>
        </w:rPr>
        <w:t xml:space="preserve">   II    </w:t>
      </w:r>
      <w:r>
        <w:rPr>
          <w:rFonts w:ascii="宋体" w:hAnsi="宋体"/>
          <w:sz w:val="24"/>
          <w:szCs w:val="24"/>
        </w:rPr>
        <w:t xml:space="preserve">  级   </w:t>
      </w:r>
    </w:p>
    <w:p>
      <w:pPr>
        <w:spacing w:line="400" w:lineRule="exact"/>
        <w:ind w:firstLine="480" w:firstLineChars="200"/>
        <w:rPr>
          <w:rFonts w:ascii="宋体" w:hAnsi="宋体"/>
          <w:sz w:val="24"/>
          <w:szCs w:val="24"/>
        </w:rPr>
      </w:pPr>
      <w:r>
        <w:rPr>
          <w:rFonts w:ascii="宋体" w:hAnsi="宋体"/>
          <w:sz w:val="24"/>
          <w:szCs w:val="24"/>
        </w:rPr>
        <w:t xml:space="preserve">3.7覆冰厚度：     </w:t>
      </w:r>
      <w:r>
        <w:rPr>
          <w:rFonts w:ascii="宋体" w:hAnsi="宋体"/>
          <w:sz w:val="24"/>
          <w:szCs w:val="24"/>
          <w:u w:val="single"/>
        </w:rPr>
        <w:t xml:space="preserve">   1</w:t>
      </w:r>
      <w:r>
        <w:rPr>
          <w:rFonts w:hint="eastAsia" w:ascii="宋体" w:hAnsi="宋体"/>
          <w:sz w:val="24"/>
          <w:szCs w:val="24"/>
          <w:u w:val="single"/>
        </w:rPr>
        <w:t>5</w:t>
      </w:r>
      <w:r>
        <w:rPr>
          <w:rFonts w:ascii="宋体" w:hAnsi="宋体"/>
          <w:sz w:val="24"/>
          <w:szCs w:val="24"/>
          <w:u w:val="single"/>
        </w:rPr>
        <w:t xml:space="preserve">    </w:t>
      </w:r>
      <w:r>
        <w:rPr>
          <w:rFonts w:ascii="宋体" w:hAnsi="宋体"/>
          <w:sz w:val="24"/>
          <w:szCs w:val="24"/>
        </w:rPr>
        <w:t xml:space="preserve">  mm(风速不大于15m/s时)</w:t>
      </w:r>
    </w:p>
    <w:p>
      <w:pPr>
        <w:spacing w:line="400" w:lineRule="exact"/>
        <w:ind w:firstLine="480" w:firstLineChars="200"/>
        <w:rPr>
          <w:rFonts w:ascii="宋体" w:hAnsi="宋体"/>
          <w:sz w:val="24"/>
          <w:szCs w:val="24"/>
        </w:rPr>
      </w:pPr>
    </w:p>
    <w:p>
      <w:pPr>
        <w:bidi w:val="0"/>
        <w:rPr>
          <w:rFonts w:hint="eastAsia" w:ascii="宋体" w:hAnsi="宋体" w:eastAsia="宋体" w:cs="宋体"/>
          <w:b/>
          <w:bCs/>
          <w:sz w:val="24"/>
          <w:szCs w:val="24"/>
        </w:rPr>
      </w:pPr>
      <w:bookmarkStart w:id="75" w:name="_Toc31791910"/>
      <w:r>
        <w:rPr>
          <w:rFonts w:hint="eastAsia" w:ascii="宋体" w:hAnsi="宋体" w:eastAsia="宋体" w:cs="宋体"/>
          <w:b/>
          <w:bCs/>
          <w:sz w:val="24"/>
          <w:szCs w:val="24"/>
        </w:rPr>
        <w:t>4 产品</w:t>
      </w:r>
      <w:bookmarkEnd w:id="75"/>
    </w:p>
    <w:p>
      <w:pPr>
        <w:spacing w:line="400" w:lineRule="exact"/>
        <w:ind w:firstLine="480" w:firstLineChars="200"/>
        <w:rPr>
          <w:rFonts w:ascii="宋体" w:hAnsi="宋体"/>
          <w:sz w:val="24"/>
          <w:szCs w:val="24"/>
        </w:rPr>
      </w:pPr>
      <w:r>
        <w:rPr>
          <w:rFonts w:hint="eastAsia" w:ascii="宋体" w:hAnsi="宋体"/>
          <w:sz w:val="24"/>
          <w:szCs w:val="24"/>
        </w:rPr>
        <w:t xml:space="preserve">4.1  10kV户外隔离开关  </w:t>
      </w:r>
      <w:r>
        <w:rPr>
          <w:rFonts w:ascii="宋体" w:hAnsi="宋体"/>
          <w:sz w:val="24"/>
          <w:szCs w:val="24"/>
        </w:rPr>
        <w:t>GW</w:t>
      </w:r>
      <w:r>
        <w:rPr>
          <w:rFonts w:hint="eastAsia" w:ascii="宋体" w:hAnsi="宋体"/>
          <w:sz w:val="24"/>
          <w:szCs w:val="24"/>
        </w:rPr>
        <w:t>1</w:t>
      </w:r>
      <w:r>
        <w:rPr>
          <w:rFonts w:ascii="宋体" w:hAnsi="宋体"/>
          <w:sz w:val="24"/>
          <w:szCs w:val="24"/>
        </w:rPr>
        <w:t>-10</w:t>
      </w:r>
      <w:r>
        <w:rPr>
          <w:rFonts w:hint="eastAsia" w:ascii="宋体" w:hAnsi="宋体"/>
          <w:sz w:val="24"/>
          <w:szCs w:val="24"/>
        </w:rPr>
        <w:t>W-4</w:t>
      </w:r>
      <w:r>
        <w:rPr>
          <w:rFonts w:ascii="宋体" w:hAnsi="宋体"/>
          <w:sz w:val="24"/>
          <w:szCs w:val="24"/>
        </w:rPr>
        <w:t>00</w:t>
      </w:r>
      <w:r>
        <w:rPr>
          <w:rFonts w:hint="eastAsia" w:ascii="宋体" w:hAnsi="宋体"/>
          <w:sz w:val="24"/>
          <w:szCs w:val="24"/>
        </w:rPr>
        <w:t>/31.5kA（箱式变电站用）</w:t>
      </w:r>
    </w:p>
    <w:p>
      <w:pPr>
        <w:spacing w:line="400" w:lineRule="exact"/>
        <w:ind w:firstLine="480" w:firstLineChars="200"/>
        <w:rPr>
          <w:rFonts w:ascii="宋体" w:hAnsi="宋体"/>
          <w:sz w:val="24"/>
          <w:szCs w:val="24"/>
        </w:rPr>
      </w:pPr>
      <w:r>
        <w:rPr>
          <w:rFonts w:hint="eastAsia" w:ascii="宋体" w:hAnsi="宋体"/>
          <w:sz w:val="24"/>
          <w:szCs w:val="24"/>
        </w:rPr>
        <w:t>4.1.1.技术要求</w:t>
      </w:r>
    </w:p>
    <w:p>
      <w:pPr>
        <w:spacing w:line="400" w:lineRule="exact"/>
        <w:ind w:firstLine="480" w:firstLineChars="200"/>
        <w:rPr>
          <w:rFonts w:ascii="宋体" w:hAnsi="宋体"/>
          <w:sz w:val="24"/>
          <w:szCs w:val="24"/>
        </w:rPr>
      </w:pPr>
      <w:r>
        <w:rPr>
          <w:rFonts w:hint="eastAsia" w:ascii="宋体" w:hAnsi="宋体"/>
          <w:sz w:val="24"/>
          <w:szCs w:val="24"/>
        </w:rPr>
        <w:t>a) 能够实现电路在10kV系统中有电压无负载情况下分断与关合，实现三相系统的同步操作。</w:t>
      </w:r>
    </w:p>
    <w:p>
      <w:pPr>
        <w:spacing w:line="400" w:lineRule="exact"/>
        <w:ind w:firstLine="480" w:firstLineChars="200"/>
        <w:rPr>
          <w:rFonts w:ascii="宋体" w:hAnsi="宋体"/>
          <w:sz w:val="24"/>
          <w:szCs w:val="24"/>
        </w:rPr>
      </w:pPr>
      <w:r>
        <w:rPr>
          <w:rFonts w:hint="eastAsia" w:ascii="宋体" w:hAnsi="宋体"/>
          <w:sz w:val="24"/>
          <w:szCs w:val="24"/>
        </w:rPr>
        <w:t>b) 系统额定电压：10kV</w:t>
      </w:r>
    </w:p>
    <w:p>
      <w:pPr>
        <w:spacing w:line="400" w:lineRule="exact"/>
        <w:ind w:firstLine="480" w:firstLineChars="200"/>
        <w:rPr>
          <w:rFonts w:ascii="宋体" w:hAnsi="宋体"/>
          <w:sz w:val="24"/>
          <w:szCs w:val="24"/>
        </w:rPr>
      </w:pPr>
      <w:r>
        <w:rPr>
          <w:rFonts w:hint="eastAsia" w:ascii="宋体" w:hAnsi="宋体"/>
          <w:sz w:val="24"/>
          <w:szCs w:val="24"/>
        </w:rPr>
        <w:t>c) 额定电流：400A</w:t>
      </w:r>
    </w:p>
    <w:p>
      <w:pPr>
        <w:spacing w:line="400" w:lineRule="exact"/>
        <w:ind w:firstLine="480" w:firstLineChars="200"/>
        <w:rPr>
          <w:rFonts w:ascii="宋体" w:hAnsi="宋体"/>
          <w:sz w:val="24"/>
          <w:szCs w:val="24"/>
        </w:rPr>
      </w:pPr>
      <w:r>
        <w:rPr>
          <w:rFonts w:hint="eastAsia" w:ascii="宋体" w:hAnsi="宋体"/>
          <w:sz w:val="24"/>
          <w:szCs w:val="24"/>
        </w:rPr>
        <w:t>d) 动稳定电流：31.5kA</w:t>
      </w:r>
    </w:p>
    <w:p>
      <w:pPr>
        <w:spacing w:line="400" w:lineRule="exact"/>
        <w:ind w:firstLine="480" w:firstLineChars="200"/>
        <w:rPr>
          <w:rFonts w:ascii="宋体" w:hAnsi="宋体"/>
          <w:sz w:val="24"/>
          <w:szCs w:val="24"/>
        </w:rPr>
      </w:pPr>
      <w:r>
        <w:rPr>
          <w:rFonts w:hint="eastAsia" w:ascii="宋体" w:hAnsi="宋体"/>
          <w:sz w:val="24"/>
          <w:szCs w:val="24"/>
        </w:rPr>
        <w:t>e) 热稳定电流2s：20kA</w:t>
      </w:r>
    </w:p>
    <w:p>
      <w:pPr>
        <w:spacing w:line="400" w:lineRule="exact"/>
        <w:ind w:firstLine="480" w:firstLineChars="200"/>
        <w:rPr>
          <w:rFonts w:ascii="宋体" w:hAnsi="宋体"/>
          <w:sz w:val="24"/>
          <w:szCs w:val="24"/>
        </w:rPr>
      </w:pPr>
      <w:r>
        <w:rPr>
          <w:rFonts w:hint="eastAsia" w:ascii="宋体" w:hAnsi="宋体"/>
          <w:sz w:val="24"/>
          <w:szCs w:val="24"/>
        </w:rPr>
        <w:t>f) 必须配备灵活、便于操作的手动操作机构。</w:t>
      </w:r>
    </w:p>
    <w:p>
      <w:pPr>
        <w:spacing w:line="400" w:lineRule="exact"/>
        <w:ind w:firstLine="480" w:firstLineChars="200"/>
        <w:rPr>
          <w:rFonts w:ascii="宋体" w:hAnsi="宋体"/>
          <w:sz w:val="24"/>
          <w:szCs w:val="24"/>
        </w:rPr>
      </w:pPr>
      <w:r>
        <w:rPr>
          <w:rFonts w:hint="eastAsia" w:ascii="宋体" w:hAnsi="宋体"/>
          <w:sz w:val="24"/>
          <w:szCs w:val="24"/>
        </w:rPr>
        <w:t>4.1.2.运行条件</w:t>
      </w:r>
    </w:p>
    <w:p>
      <w:pPr>
        <w:spacing w:line="400" w:lineRule="exact"/>
        <w:ind w:firstLine="480" w:firstLineChars="200"/>
        <w:rPr>
          <w:rFonts w:ascii="宋体" w:hAnsi="宋体"/>
          <w:sz w:val="24"/>
          <w:szCs w:val="24"/>
        </w:rPr>
      </w:pPr>
      <w:r>
        <w:rPr>
          <w:rFonts w:hint="eastAsia" w:ascii="宋体" w:hAnsi="宋体"/>
          <w:sz w:val="24"/>
          <w:szCs w:val="24"/>
        </w:rPr>
        <w:t>a) 安装地点：户外</w:t>
      </w:r>
    </w:p>
    <w:p>
      <w:pPr>
        <w:spacing w:line="400" w:lineRule="exact"/>
        <w:ind w:firstLine="480" w:firstLineChars="200"/>
        <w:rPr>
          <w:rFonts w:ascii="宋体" w:hAnsi="宋体"/>
          <w:sz w:val="24"/>
          <w:szCs w:val="24"/>
        </w:rPr>
      </w:pPr>
      <w:r>
        <w:rPr>
          <w:rFonts w:hint="eastAsia" w:ascii="宋体" w:hAnsi="宋体"/>
          <w:sz w:val="24"/>
          <w:szCs w:val="24"/>
        </w:rPr>
        <w:t>b) 最高最低空气温度：-40°C ~ +40°C</w:t>
      </w:r>
    </w:p>
    <w:p>
      <w:pPr>
        <w:spacing w:line="400" w:lineRule="exact"/>
        <w:ind w:firstLine="480" w:firstLineChars="200"/>
        <w:rPr>
          <w:rFonts w:ascii="宋体" w:hAnsi="宋体"/>
          <w:sz w:val="24"/>
          <w:szCs w:val="24"/>
        </w:rPr>
      </w:pPr>
      <w:r>
        <w:rPr>
          <w:rFonts w:hint="eastAsia" w:ascii="宋体" w:hAnsi="宋体"/>
          <w:sz w:val="24"/>
          <w:szCs w:val="24"/>
        </w:rPr>
        <w:t>c) 海拔高度：不大于1000m</w:t>
      </w:r>
    </w:p>
    <w:p>
      <w:pPr>
        <w:spacing w:line="400" w:lineRule="exact"/>
        <w:ind w:firstLine="480" w:firstLineChars="200"/>
        <w:rPr>
          <w:rFonts w:ascii="宋体" w:hAnsi="宋体"/>
          <w:sz w:val="24"/>
          <w:szCs w:val="24"/>
        </w:rPr>
      </w:pPr>
      <w:r>
        <w:rPr>
          <w:rFonts w:hint="eastAsia" w:ascii="宋体" w:hAnsi="宋体"/>
          <w:sz w:val="24"/>
          <w:szCs w:val="24"/>
        </w:rPr>
        <w:t>4.1.3.  数量：20组（三相）</w:t>
      </w:r>
    </w:p>
    <w:p>
      <w:pPr>
        <w:spacing w:line="400" w:lineRule="exact"/>
        <w:ind w:firstLine="480" w:firstLineChars="200"/>
        <w:rPr>
          <w:rFonts w:ascii="宋体" w:hAnsi="宋体"/>
          <w:sz w:val="24"/>
          <w:szCs w:val="24"/>
        </w:rPr>
      </w:pPr>
      <w:r>
        <w:rPr>
          <w:rFonts w:hint="eastAsia" w:ascii="宋体" w:hAnsi="宋体"/>
          <w:sz w:val="24"/>
          <w:szCs w:val="24"/>
        </w:rPr>
        <w:t>4.2. 10kV瓷外套氧化锌避雷器</w:t>
      </w:r>
    </w:p>
    <w:p>
      <w:pPr>
        <w:spacing w:line="400" w:lineRule="exact"/>
        <w:ind w:firstLine="480" w:firstLineChars="200"/>
        <w:rPr>
          <w:rFonts w:ascii="宋体" w:hAnsi="宋体"/>
          <w:sz w:val="24"/>
          <w:szCs w:val="24"/>
        </w:rPr>
      </w:pPr>
      <w:r>
        <w:rPr>
          <w:rFonts w:hint="eastAsia" w:ascii="宋体" w:hAnsi="宋体"/>
          <w:sz w:val="24"/>
          <w:szCs w:val="24"/>
        </w:rPr>
        <w:t>4.2.1.技术要求</w:t>
      </w:r>
    </w:p>
    <w:p>
      <w:pPr>
        <w:spacing w:line="400" w:lineRule="exact"/>
        <w:ind w:firstLine="480" w:firstLineChars="200"/>
        <w:rPr>
          <w:rFonts w:ascii="宋体" w:hAnsi="宋体"/>
          <w:sz w:val="24"/>
          <w:szCs w:val="24"/>
        </w:rPr>
      </w:pPr>
      <w:r>
        <w:rPr>
          <w:rFonts w:hint="eastAsia" w:ascii="宋体" w:hAnsi="宋体"/>
          <w:sz w:val="24"/>
          <w:szCs w:val="24"/>
        </w:rPr>
        <w:t>a) 电气性能优越：残压低，通流容量大，响应时间快，陡坡特性平坦。</w:t>
      </w:r>
    </w:p>
    <w:p>
      <w:pPr>
        <w:spacing w:line="400" w:lineRule="exact"/>
        <w:ind w:firstLine="480" w:firstLineChars="200"/>
        <w:rPr>
          <w:rFonts w:ascii="宋体" w:hAnsi="宋体"/>
          <w:sz w:val="24"/>
          <w:szCs w:val="24"/>
        </w:rPr>
      </w:pPr>
      <w:r>
        <w:rPr>
          <w:rFonts w:hint="eastAsia" w:ascii="宋体" w:hAnsi="宋体"/>
          <w:sz w:val="24"/>
          <w:szCs w:val="24"/>
        </w:rPr>
        <w:t>b) 外绝缘性能好：耐污能力强，湿闪电压高，耐电蚀，抗老化。</w:t>
      </w:r>
    </w:p>
    <w:p>
      <w:pPr>
        <w:spacing w:line="400" w:lineRule="exact"/>
        <w:ind w:firstLine="480" w:firstLineChars="200"/>
        <w:rPr>
          <w:rFonts w:ascii="宋体" w:hAnsi="宋体"/>
          <w:sz w:val="24"/>
          <w:szCs w:val="24"/>
        </w:rPr>
      </w:pPr>
      <w:r>
        <w:rPr>
          <w:rFonts w:hint="eastAsia" w:ascii="宋体" w:hAnsi="宋体"/>
          <w:sz w:val="24"/>
          <w:szCs w:val="24"/>
        </w:rPr>
        <w:t>c) 安全可靠：不藏气，不产气，防爆炸，对周围人员及其他设备安全保障性能高。</w:t>
      </w:r>
    </w:p>
    <w:p>
      <w:pPr>
        <w:spacing w:line="400" w:lineRule="exact"/>
        <w:ind w:firstLine="480" w:firstLineChars="200"/>
        <w:rPr>
          <w:rFonts w:ascii="宋体" w:hAnsi="宋体"/>
          <w:sz w:val="24"/>
          <w:szCs w:val="24"/>
        </w:rPr>
      </w:pPr>
      <w:r>
        <w:rPr>
          <w:rFonts w:hint="eastAsia" w:ascii="宋体" w:hAnsi="宋体"/>
          <w:sz w:val="24"/>
          <w:szCs w:val="24"/>
        </w:rPr>
        <w:t>d) 节能、环保、免维护。</w:t>
      </w:r>
    </w:p>
    <w:p>
      <w:pPr>
        <w:spacing w:line="400" w:lineRule="exact"/>
        <w:ind w:firstLine="480" w:firstLineChars="200"/>
        <w:rPr>
          <w:rFonts w:ascii="宋体" w:hAnsi="宋体"/>
          <w:sz w:val="24"/>
          <w:szCs w:val="24"/>
        </w:rPr>
      </w:pPr>
      <w:r>
        <w:rPr>
          <w:rFonts w:hint="eastAsia" w:ascii="宋体" w:hAnsi="宋体"/>
          <w:sz w:val="24"/>
          <w:szCs w:val="24"/>
        </w:rPr>
        <w:t>4.2.2.技术参数要求</w:t>
      </w:r>
    </w:p>
    <w:p>
      <w:pPr>
        <w:spacing w:line="400" w:lineRule="exact"/>
        <w:ind w:firstLine="480" w:firstLineChars="200"/>
        <w:rPr>
          <w:rFonts w:ascii="宋体" w:hAnsi="宋体"/>
          <w:sz w:val="24"/>
          <w:szCs w:val="24"/>
        </w:rPr>
      </w:pPr>
      <w:r>
        <w:rPr>
          <w:rFonts w:hint="eastAsia" w:ascii="宋体" w:hAnsi="宋体"/>
          <w:sz w:val="24"/>
          <w:szCs w:val="24"/>
        </w:rPr>
        <w:t xml:space="preserve">a) 型式：瓷外套金属氧化物避雷器 </w:t>
      </w:r>
    </w:p>
    <w:p>
      <w:pPr>
        <w:spacing w:line="400" w:lineRule="exact"/>
        <w:ind w:firstLine="480" w:firstLineChars="200"/>
        <w:rPr>
          <w:rFonts w:ascii="宋体" w:hAnsi="宋体"/>
          <w:sz w:val="24"/>
          <w:szCs w:val="24"/>
        </w:rPr>
      </w:pPr>
      <w:r>
        <w:rPr>
          <w:rFonts w:hint="eastAsia" w:ascii="宋体" w:hAnsi="宋体"/>
          <w:sz w:val="24"/>
          <w:szCs w:val="24"/>
        </w:rPr>
        <w:t>b) 标称放电电流：5kA</w:t>
      </w:r>
    </w:p>
    <w:p>
      <w:pPr>
        <w:spacing w:line="400" w:lineRule="exact"/>
        <w:ind w:firstLine="480" w:firstLineChars="200"/>
        <w:rPr>
          <w:rFonts w:ascii="宋体" w:hAnsi="宋体"/>
          <w:sz w:val="24"/>
          <w:szCs w:val="24"/>
        </w:rPr>
      </w:pPr>
      <w:r>
        <w:rPr>
          <w:rFonts w:hint="eastAsia" w:ascii="宋体" w:hAnsi="宋体"/>
          <w:sz w:val="24"/>
          <w:szCs w:val="24"/>
        </w:rPr>
        <w:t>c) 系统标称电压：10kV</w:t>
      </w:r>
    </w:p>
    <w:p>
      <w:pPr>
        <w:spacing w:line="400" w:lineRule="exact"/>
        <w:ind w:firstLine="480" w:firstLineChars="200"/>
        <w:rPr>
          <w:rFonts w:ascii="宋体" w:hAnsi="宋体"/>
          <w:sz w:val="24"/>
          <w:szCs w:val="24"/>
        </w:rPr>
      </w:pPr>
      <w:r>
        <w:rPr>
          <w:rFonts w:hint="eastAsia" w:ascii="宋体" w:hAnsi="宋体"/>
          <w:sz w:val="24"/>
          <w:szCs w:val="24"/>
        </w:rPr>
        <w:t>d) 避雷器额定电压：17 kV</w:t>
      </w:r>
    </w:p>
    <w:p>
      <w:pPr>
        <w:spacing w:line="400" w:lineRule="exact"/>
        <w:ind w:firstLine="480" w:firstLineChars="200"/>
        <w:rPr>
          <w:rFonts w:ascii="宋体" w:hAnsi="宋体"/>
          <w:sz w:val="24"/>
          <w:szCs w:val="24"/>
        </w:rPr>
      </w:pPr>
      <w:r>
        <w:rPr>
          <w:rFonts w:hint="eastAsia" w:ascii="宋体" w:hAnsi="宋体"/>
          <w:sz w:val="24"/>
          <w:szCs w:val="24"/>
        </w:rPr>
        <w:t>e) 雷电冲击电流 8/20  50 kA</w:t>
      </w:r>
    </w:p>
    <w:p>
      <w:pPr>
        <w:spacing w:line="400" w:lineRule="exact"/>
        <w:ind w:firstLine="480" w:firstLineChars="200"/>
        <w:rPr>
          <w:rFonts w:ascii="宋体" w:hAnsi="宋体"/>
          <w:sz w:val="24"/>
          <w:szCs w:val="24"/>
        </w:rPr>
      </w:pPr>
      <w:r>
        <w:rPr>
          <w:rFonts w:hint="eastAsia" w:ascii="宋体" w:hAnsi="宋体"/>
          <w:sz w:val="24"/>
          <w:szCs w:val="24"/>
        </w:rPr>
        <w:t>f) 通流容量：2ms方波 100A</w:t>
      </w:r>
    </w:p>
    <w:p>
      <w:pPr>
        <w:spacing w:line="400" w:lineRule="exact"/>
        <w:ind w:firstLine="480" w:firstLineChars="200"/>
        <w:rPr>
          <w:rFonts w:ascii="宋体" w:hAnsi="宋体"/>
          <w:sz w:val="24"/>
          <w:szCs w:val="24"/>
        </w:rPr>
      </w:pPr>
      <w:r>
        <w:rPr>
          <w:rFonts w:hint="eastAsia" w:ascii="宋体" w:hAnsi="宋体"/>
          <w:sz w:val="24"/>
          <w:szCs w:val="24"/>
        </w:rPr>
        <w:t>4.2.3.运行条件</w:t>
      </w:r>
    </w:p>
    <w:p>
      <w:pPr>
        <w:spacing w:line="400" w:lineRule="exact"/>
        <w:ind w:firstLine="480" w:firstLineChars="200"/>
        <w:rPr>
          <w:rFonts w:ascii="宋体" w:hAnsi="宋体"/>
          <w:sz w:val="24"/>
          <w:szCs w:val="24"/>
        </w:rPr>
      </w:pPr>
      <w:r>
        <w:rPr>
          <w:rFonts w:hint="eastAsia" w:ascii="宋体" w:hAnsi="宋体"/>
          <w:sz w:val="24"/>
          <w:szCs w:val="24"/>
        </w:rPr>
        <w:t>a) 安装地点：户外</w:t>
      </w:r>
    </w:p>
    <w:p>
      <w:pPr>
        <w:spacing w:line="400" w:lineRule="exact"/>
        <w:ind w:firstLine="480" w:firstLineChars="200"/>
        <w:rPr>
          <w:rFonts w:ascii="宋体" w:hAnsi="宋体"/>
          <w:sz w:val="24"/>
          <w:szCs w:val="24"/>
        </w:rPr>
      </w:pPr>
      <w:r>
        <w:rPr>
          <w:rFonts w:hint="eastAsia" w:ascii="宋体" w:hAnsi="宋体"/>
          <w:sz w:val="24"/>
          <w:szCs w:val="24"/>
        </w:rPr>
        <w:t>b) 最高最低空气温度：-40°C ~ +40°C</w:t>
      </w:r>
    </w:p>
    <w:p>
      <w:pPr>
        <w:spacing w:line="400" w:lineRule="exact"/>
        <w:ind w:firstLine="480" w:firstLineChars="200"/>
        <w:rPr>
          <w:rFonts w:ascii="宋体" w:hAnsi="宋体"/>
          <w:sz w:val="24"/>
          <w:szCs w:val="24"/>
        </w:rPr>
      </w:pPr>
      <w:r>
        <w:rPr>
          <w:rFonts w:hint="eastAsia" w:ascii="宋体" w:hAnsi="宋体"/>
          <w:sz w:val="24"/>
          <w:szCs w:val="24"/>
        </w:rPr>
        <w:t>c) 海拔高度：不大于1000m</w:t>
      </w:r>
    </w:p>
    <w:p>
      <w:pPr>
        <w:spacing w:line="400" w:lineRule="exact"/>
        <w:ind w:firstLine="480" w:firstLineChars="200"/>
        <w:rPr>
          <w:rFonts w:ascii="宋体" w:hAnsi="宋体"/>
          <w:sz w:val="24"/>
          <w:szCs w:val="24"/>
        </w:rPr>
      </w:pPr>
      <w:r>
        <w:rPr>
          <w:rFonts w:hint="eastAsia" w:ascii="宋体" w:hAnsi="宋体"/>
          <w:sz w:val="24"/>
          <w:szCs w:val="24"/>
        </w:rPr>
        <w:t>4.2.4.  数量：60只（20组)</w:t>
      </w:r>
    </w:p>
    <w:p>
      <w:pPr>
        <w:spacing w:line="400" w:lineRule="exact"/>
        <w:ind w:firstLine="480" w:firstLineChars="200"/>
        <w:rPr>
          <w:rFonts w:ascii="宋体" w:hAnsi="宋体"/>
          <w:sz w:val="24"/>
          <w:szCs w:val="24"/>
        </w:rPr>
      </w:pPr>
      <w:r>
        <w:rPr>
          <w:rFonts w:hint="eastAsia" w:ascii="宋体" w:hAnsi="宋体"/>
          <w:sz w:val="24"/>
          <w:szCs w:val="24"/>
        </w:rPr>
        <w:t>户外设备表</w:t>
      </w:r>
    </w:p>
    <w:tbl>
      <w:tblPr>
        <w:tblStyle w:val="6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2711"/>
        <w:gridCol w:w="2931"/>
        <w:gridCol w:w="885"/>
        <w:gridCol w:w="885"/>
        <w:gridCol w:w="1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 w:type="pct"/>
            <w:vAlign w:val="center"/>
          </w:tcPr>
          <w:p>
            <w:pPr>
              <w:widowControl w:val="0"/>
              <w:spacing w:line="360" w:lineRule="auto"/>
              <w:jc w:val="center"/>
              <w:rPr>
                <w:rFonts w:ascii="宋体" w:hAnsi="宋体"/>
                <w:szCs w:val="21"/>
              </w:rPr>
            </w:pPr>
            <w:r>
              <w:rPr>
                <w:rFonts w:hint="eastAsia" w:ascii="宋体" w:hAnsi="宋体"/>
                <w:szCs w:val="21"/>
              </w:rPr>
              <w:t>序号</w:t>
            </w:r>
          </w:p>
        </w:tc>
        <w:tc>
          <w:tcPr>
            <w:tcW w:w="1409" w:type="pct"/>
            <w:vAlign w:val="center"/>
          </w:tcPr>
          <w:p>
            <w:pPr>
              <w:widowControl w:val="0"/>
              <w:spacing w:line="360" w:lineRule="auto"/>
              <w:jc w:val="center"/>
              <w:rPr>
                <w:rFonts w:ascii="宋体" w:hAnsi="宋体"/>
                <w:szCs w:val="21"/>
              </w:rPr>
            </w:pPr>
            <w:r>
              <w:rPr>
                <w:rFonts w:hint="eastAsia" w:ascii="宋体" w:hAnsi="宋体"/>
                <w:szCs w:val="21"/>
              </w:rPr>
              <w:t>设备名称</w:t>
            </w:r>
          </w:p>
        </w:tc>
        <w:tc>
          <w:tcPr>
            <w:tcW w:w="1523" w:type="pct"/>
            <w:vAlign w:val="center"/>
          </w:tcPr>
          <w:p>
            <w:pPr>
              <w:widowControl w:val="0"/>
              <w:spacing w:line="360" w:lineRule="auto"/>
              <w:jc w:val="center"/>
              <w:rPr>
                <w:rFonts w:ascii="宋体" w:hAnsi="宋体"/>
                <w:szCs w:val="21"/>
              </w:rPr>
            </w:pPr>
            <w:r>
              <w:rPr>
                <w:rFonts w:hint="eastAsia" w:ascii="宋体" w:hAnsi="宋体"/>
                <w:szCs w:val="21"/>
              </w:rPr>
              <w:t>参数</w:t>
            </w:r>
          </w:p>
        </w:tc>
        <w:tc>
          <w:tcPr>
            <w:tcW w:w="460" w:type="pct"/>
            <w:vAlign w:val="center"/>
          </w:tcPr>
          <w:p>
            <w:pPr>
              <w:widowControl w:val="0"/>
              <w:spacing w:line="360" w:lineRule="auto"/>
              <w:jc w:val="center"/>
              <w:rPr>
                <w:rFonts w:ascii="宋体" w:hAnsi="宋体"/>
                <w:szCs w:val="21"/>
              </w:rPr>
            </w:pPr>
            <w:r>
              <w:rPr>
                <w:rFonts w:hint="eastAsia" w:ascii="宋体" w:hAnsi="宋体"/>
                <w:szCs w:val="21"/>
              </w:rPr>
              <w:t>数量</w:t>
            </w:r>
          </w:p>
        </w:tc>
        <w:tc>
          <w:tcPr>
            <w:tcW w:w="460" w:type="pct"/>
            <w:vAlign w:val="center"/>
          </w:tcPr>
          <w:p>
            <w:pPr>
              <w:widowControl w:val="0"/>
              <w:spacing w:line="360" w:lineRule="auto"/>
              <w:jc w:val="center"/>
              <w:rPr>
                <w:rFonts w:ascii="宋体" w:hAnsi="宋体"/>
                <w:szCs w:val="21"/>
              </w:rPr>
            </w:pPr>
            <w:r>
              <w:rPr>
                <w:rFonts w:hint="eastAsia" w:ascii="宋体" w:hAnsi="宋体"/>
                <w:szCs w:val="21"/>
              </w:rPr>
              <w:t>单位</w:t>
            </w:r>
          </w:p>
        </w:tc>
        <w:tc>
          <w:tcPr>
            <w:tcW w:w="688" w:type="pct"/>
            <w:vAlign w:val="center"/>
          </w:tcPr>
          <w:p>
            <w:pPr>
              <w:widowControl w:val="0"/>
              <w:spacing w:line="360" w:lineRule="auto"/>
              <w:jc w:val="center"/>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 w:type="pct"/>
            <w:vAlign w:val="center"/>
          </w:tcPr>
          <w:p>
            <w:pPr>
              <w:widowControl w:val="0"/>
              <w:spacing w:line="360" w:lineRule="auto"/>
              <w:jc w:val="center"/>
              <w:rPr>
                <w:rFonts w:ascii="宋体" w:hAnsi="宋体"/>
                <w:szCs w:val="21"/>
              </w:rPr>
            </w:pPr>
            <w:r>
              <w:rPr>
                <w:rFonts w:hint="eastAsia" w:ascii="宋体" w:hAnsi="宋体"/>
                <w:szCs w:val="21"/>
              </w:rPr>
              <w:t>1</w:t>
            </w:r>
          </w:p>
        </w:tc>
        <w:tc>
          <w:tcPr>
            <w:tcW w:w="1409" w:type="pct"/>
            <w:vAlign w:val="center"/>
          </w:tcPr>
          <w:p>
            <w:pPr>
              <w:widowControl w:val="0"/>
              <w:spacing w:line="360" w:lineRule="auto"/>
              <w:jc w:val="center"/>
              <w:rPr>
                <w:rFonts w:ascii="宋体" w:hAnsi="宋体"/>
                <w:szCs w:val="21"/>
              </w:rPr>
            </w:pPr>
            <w:r>
              <w:rPr>
                <w:rFonts w:hint="eastAsia" w:ascii="宋体" w:hAnsi="宋体"/>
                <w:szCs w:val="21"/>
              </w:rPr>
              <w:t>10kV瓷外套</w:t>
            </w:r>
          </w:p>
          <w:p>
            <w:pPr>
              <w:widowControl w:val="0"/>
              <w:spacing w:line="360" w:lineRule="auto"/>
              <w:jc w:val="center"/>
              <w:rPr>
                <w:rFonts w:ascii="宋体" w:hAnsi="宋体"/>
                <w:szCs w:val="21"/>
              </w:rPr>
            </w:pPr>
            <w:r>
              <w:rPr>
                <w:rFonts w:hint="eastAsia" w:ascii="宋体" w:hAnsi="宋体"/>
                <w:szCs w:val="21"/>
              </w:rPr>
              <w:t>氧化锌避雷器</w:t>
            </w:r>
          </w:p>
        </w:tc>
        <w:tc>
          <w:tcPr>
            <w:tcW w:w="1523" w:type="pct"/>
            <w:vAlign w:val="center"/>
          </w:tcPr>
          <w:p>
            <w:pPr>
              <w:widowControl w:val="0"/>
              <w:spacing w:line="360" w:lineRule="auto"/>
              <w:jc w:val="center"/>
              <w:rPr>
                <w:rFonts w:ascii="宋体" w:hAnsi="宋体"/>
                <w:szCs w:val="21"/>
              </w:rPr>
            </w:pPr>
            <w:r>
              <w:rPr>
                <w:rFonts w:hint="eastAsia" w:ascii="宋体" w:hAnsi="宋体"/>
                <w:szCs w:val="21"/>
              </w:rPr>
              <w:t>Y5WS-17/50</w:t>
            </w:r>
          </w:p>
        </w:tc>
        <w:tc>
          <w:tcPr>
            <w:tcW w:w="460" w:type="pct"/>
            <w:vAlign w:val="center"/>
          </w:tcPr>
          <w:p>
            <w:pPr>
              <w:widowControl w:val="0"/>
              <w:spacing w:line="360" w:lineRule="auto"/>
              <w:jc w:val="center"/>
              <w:rPr>
                <w:rFonts w:ascii="宋体" w:hAnsi="宋体"/>
                <w:szCs w:val="21"/>
              </w:rPr>
            </w:pPr>
            <w:r>
              <w:rPr>
                <w:rFonts w:hint="eastAsia" w:ascii="宋体" w:hAnsi="宋体"/>
                <w:szCs w:val="21"/>
              </w:rPr>
              <w:t>8</w:t>
            </w:r>
          </w:p>
        </w:tc>
        <w:tc>
          <w:tcPr>
            <w:tcW w:w="460" w:type="pct"/>
            <w:vAlign w:val="center"/>
          </w:tcPr>
          <w:p>
            <w:pPr>
              <w:widowControl w:val="0"/>
              <w:spacing w:line="360" w:lineRule="auto"/>
              <w:jc w:val="center"/>
              <w:rPr>
                <w:rFonts w:ascii="宋体" w:hAnsi="宋体"/>
                <w:szCs w:val="21"/>
              </w:rPr>
            </w:pPr>
            <w:r>
              <w:rPr>
                <w:rFonts w:hint="eastAsia" w:ascii="宋体" w:hAnsi="宋体"/>
                <w:szCs w:val="21"/>
              </w:rPr>
              <w:t>组</w:t>
            </w:r>
          </w:p>
        </w:tc>
        <w:tc>
          <w:tcPr>
            <w:tcW w:w="688" w:type="pct"/>
            <w:vAlign w:val="center"/>
          </w:tcPr>
          <w:p>
            <w:pPr>
              <w:widowControl w:val="0"/>
              <w:spacing w:line="360" w:lineRule="auto"/>
              <w:jc w:val="center"/>
              <w:rPr>
                <w:rFonts w:ascii="宋体" w:hAnsi="宋体"/>
                <w:szCs w:val="21"/>
              </w:rPr>
            </w:pPr>
            <w:r>
              <w:rPr>
                <w:rFonts w:hint="eastAsia" w:ascii="宋体" w:hAnsi="宋体"/>
                <w:szCs w:val="21"/>
              </w:rPr>
              <w:t>共24只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 w:type="pct"/>
            <w:vAlign w:val="center"/>
          </w:tcPr>
          <w:p>
            <w:pPr>
              <w:widowControl w:val="0"/>
              <w:spacing w:line="360" w:lineRule="auto"/>
              <w:jc w:val="center"/>
              <w:rPr>
                <w:rFonts w:ascii="宋体" w:hAnsi="宋体"/>
                <w:szCs w:val="21"/>
              </w:rPr>
            </w:pPr>
            <w:r>
              <w:rPr>
                <w:rFonts w:hint="eastAsia" w:ascii="宋体" w:hAnsi="宋体"/>
                <w:szCs w:val="21"/>
              </w:rPr>
              <w:t>2</w:t>
            </w:r>
          </w:p>
        </w:tc>
        <w:tc>
          <w:tcPr>
            <w:tcW w:w="1409" w:type="pct"/>
            <w:vAlign w:val="center"/>
          </w:tcPr>
          <w:p>
            <w:pPr>
              <w:widowControl w:val="0"/>
              <w:spacing w:line="360" w:lineRule="auto"/>
              <w:jc w:val="center"/>
              <w:rPr>
                <w:rFonts w:ascii="宋体" w:hAnsi="宋体"/>
                <w:szCs w:val="21"/>
              </w:rPr>
            </w:pPr>
            <w:r>
              <w:rPr>
                <w:rFonts w:hint="eastAsia" w:ascii="宋体" w:hAnsi="宋体"/>
                <w:szCs w:val="21"/>
              </w:rPr>
              <w:t>10kV户外隔离开关</w:t>
            </w:r>
          </w:p>
        </w:tc>
        <w:tc>
          <w:tcPr>
            <w:tcW w:w="1523" w:type="pct"/>
            <w:vAlign w:val="center"/>
          </w:tcPr>
          <w:p>
            <w:pPr>
              <w:widowControl w:val="0"/>
              <w:spacing w:line="360" w:lineRule="auto"/>
              <w:jc w:val="center"/>
              <w:rPr>
                <w:rFonts w:ascii="宋体" w:hAnsi="宋体"/>
                <w:szCs w:val="21"/>
              </w:rPr>
            </w:pPr>
            <w:r>
              <w:rPr>
                <w:rFonts w:hint="eastAsia" w:ascii="宋体" w:hAnsi="宋体"/>
                <w:szCs w:val="21"/>
              </w:rPr>
              <w:t>GW1-10W-400/31.5kA</w:t>
            </w:r>
          </w:p>
        </w:tc>
        <w:tc>
          <w:tcPr>
            <w:tcW w:w="460" w:type="pct"/>
            <w:vAlign w:val="center"/>
          </w:tcPr>
          <w:p>
            <w:pPr>
              <w:widowControl w:val="0"/>
              <w:spacing w:line="360" w:lineRule="auto"/>
              <w:jc w:val="center"/>
              <w:rPr>
                <w:rFonts w:ascii="宋体" w:hAnsi="宋体"/>
                <w:szCs w:val="21"/>
              </w:rPr>
            </w:pPr>
            <w:r>
              <w:rPr>
                <w:rFonts w:hint="eastAsia" w:ascii="宋体" w:hAnsi="宋体"/>
                <w:szCs w:val="21"/>
              </w:rPr>
              <w:t>8</w:t>
            </w:r>
          </w:p>
        </w:tc>
        <w:tc>
          <w:tcPr>
            <w:tcW w:w="460" w:type="pct"/>
            <w:vAlign w:val="center"/>
          </w:tcPr>
          <w:p>
            <w:pPr>
              <w:widowControl w:val="0"/>
              <w:spacing w:line="360" w:lineRule="auto"/>
              <w:jc w:val="center"/>
              <w:rPr>
                <w:rFonts w:ascii="宋体" w:hAnsi="宋体"/>
                <w:szCs w:val="21"/>
              </w:rPr>
            </w:pPr>
            <w:r>
              <w:rPr>
                <w:rFonts w:hint="eastAsia" w:ascii="宋体" w:hAnsi="宋体"/>
                <w:szCs w:val="21"/>
              </w:rPr>
              <w:t>组</w:t>
            </w:r>
          </w:p>
        </w:tc>
        <w:tc>
          <w:tcPr>
            <w:tcW w:w="688" w:type="pct"/>
            <w:vAlign w:val="center"/>
          </w:tcPr>
          <w:p>
            <w:pPr>
              <w:widowControl w:val="0"/>
              <w:spacing w:line="360" w:lineRule="auto"/>
              <w:jc w:val="center"/>
              <w:rPr>
                <w:rFonts w:ascii="宋体" w:hAnsi="宋体"/>
                <w:szCs w:val="21"/>
              </w:rPr>
            </w:pPr>
          </w:p>
        </w:tc>
      </w:tr>
    </w:tbl>
    <w:p>
      <w:pPr>
        <w:pStyle w:val="4"/>
        <w:keepNext/>
        <w:keepLines/>
        <w:pageBreakBefore w:val="0"/>
        <w:widowControl/>
        <w:kinsoku/>
        <w:wordWrap/>
        <w:overflowPunct/>
        <w:topLinePunct w:val="0"/>
        <w:autoSpaceDE/>
        <w:autoSpaceDN/>
        <w:bidi w:val="0"/>
        <w:adjustRightInd/>
        <w:snapToGrid/>
        <w:spacing w:line="15" w:lineRule="auto"/>
        <w:textAlignment w:val="auto"/>
        <w:rPr>
          <w:rFonts w:hint="eastAsia"/>
          <w:sz w:val="28"/>
          <w:szCs w:val="28"/>
        </w:rPr>
      </w:pPr>
      <w:bookmarkStart w:id="76" w:name="_Toc31791911"/>
      <w:r>
        <w:rPr>
          <w:rFonts w:hint="eastAsia"/>
          <w:sz w:val="28"/>
          <w:szCs w:val="28"/>
        </w:rPr>
        <w:t>四</w:t>
      </w:r>
      <w:r>
        <w:rPr>
          <w:rFonts w:hint="eastAsia"/>
          <w:sz w:val="28"/>
          <w:szCs w:val="28"/>
          <w:lang w:val="en-US" w:eastAsia="zh-CN"/>
        </w:rPr>
        <w:t>、</w:t>
      </w:r>
      <w:r>
        <w:rPr>
          <w:rFonts w:hint="eastAsia"/>
          <w:sz w:val="28"/>
          <w:szCs w:val="28"/>
        </w:rPr>
        <w:t>视频及通信设备</w:t>
      </w:r>
      <w:bookmarkEnd w:id="76"/>
    </w:p>
    <w:p>
      <w:pPr>
        <w:bidi w:val="0"/>
        <w:rPr>
          <w:rFonts w:hint="eastAsia" w:ascii="宋体" w:hAnsi="宋体" w:eastAsia="宋体" w:cs="宋体"/>
          <w:b/>
          <w:bCs/>
          <w:sz w:val="24"/>
          <w:szCs w:val="24"/>
        </w:rPr>
      </w:pPr>
      <w:bookmarkStart w:id="77" w:name="_Toc31791912"/>
      <w:r>
        <w:rPr>
          <w:rFonts w:hint="eastAsia" w:ascii="宋体" w:hAnsi="宋体" w:eastAsia="宋体" w:cs="宋体"/>
          <w:b/>
          <w:bCs/>
          <w:sz w:val="24"/>
          <w:szCs w:val="24"/>
        </w:rPr>
        <w:t>1  视频设备</w:t>
      </w:r>
      <w:bookmarkEnd w:id="77"/>
    </w:p>
    <w:p>
      <w:pPr>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1.</w:t>
      </w:r>
      <w:r>
        <w:rPr>
          <w:rFonts w:hint="eastAsia" w:ascii="宋体" w:hAnsi="宋体"/>
          <w:snapToGrid w:val="0"/>
          <w:kern w:val="0"/>
          <w:sz w:val="24"/>
          <w:szCs w:val="24"/>
        </w:rPr>
        <w:t>1  视频工作内容及供货范围</w:t>
      </w:r>
    </w:p>
    <w:p>
      <w:pPr>
        <w:adjustRightInd w:val="0"/>
        <w:snapToGrid w:val="0"/>
        <w:spacing w:line="400" w:lineRule="exact"/>
        <w:ind w:firstLine="480" w:firstLineChars="200"/>
        <w:rPr>
          <w:rFonts w:ascii="宋体" w:hAnsi="宋体"/>
          <w:snapToGrid w:val="0"/>
          <w:kern w:val="0"/>
          <w:sz w:val="24"/>
          <w:szCs w:val="24"/>
        </w:rPr>
      </w:pPr>
      <w:bookmarkStart w:id="78" w:name="_Toc370803630"/>
      <w:bookmarkStart w:id="79" w:name="_Toc370803444"/>
      <w:r>
        <w:rPr>
          <w:rFonts w:ascii="宋体" w:hAnsi="宋体"/>
          <w:snapToGrid w:val="0"/>
          <w:kern w:val="0"/>
          <w:sz w:val="24"/>
          <w:szCs w:val="24"/>
        </w:rPr>
        <w:t>1.</w:t>
      </w:r>
      <w:r>
        <w:rPr>
          <w:rFonts w:hint="eastAsia" w:ascii="宋体" w:hAnsi="宋体"/>
          <w:snapToGrid w:val="0"/>
          <w:kern w:val="0"/>
          <w:sz w:val="24"/>
          <w:szCs w:val="24"/>
        </w:rPr>
        <w:t>1</w:t>
      </w:r>
      <w:r>
        <w:rPr>
          <w:rFonts w:ascii="宋体" w:hAnsi="宋体"/>
          <w:snapToGrid w:val="0"/>
          <w:kern w:val="0"/>
          <w:sz w:val="24"/>
          <w:szCs w:val="24"/>
        </w:rPr>
        <w:t>.1</w:t>
      </w:r>
      <w:r>
        <w:rPr>
          <w:rFonts w:hint="eastAsia" w:ascii="宋体" w:hAnsi="宋体"/>
          <w:snapToGrid w:val="0"/>
          <w:kern w:val="0"/>
          <w:sz w:val="24"/>
          <w:szCs w:val="24"/>
        </w:rPr>
        <w:t xml:space="preserve">  供货范围</w:t>
      </w:r>
      <w:bookmarkEnd w:id="78"/>
      <w:bookmarkEnd w:id="79"/>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本项目设备供货范围如下：</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（1）大安片区渠系闸门视频监视设备，视频控制柜至各摄像头的视频电缆、控制电缆及电源线；</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（2）各站闸门侧通讯电源及光传输设备</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（3）各站及闸门视频监视设备的备品备件及专用工具；</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（4）全套图纸、资料和技术文件。</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视频监视设备及其附属设备详细列表。</w:t>
      </w:r>
    </w:p>
    <w:p>
      <w:pPr>
        <w:tabs>
          <w:tab w:val="left" w:pos="2475"/>
          <w:tab w:val="center" w:pos="4535"/>
        </w:tabs>
        <w:autoSpaceDE w:val="0"/>
        <w:autoSpaceDN w:val="0"/>
        <w:adjustRightInd w:val="0"/>
        <w:snapToGrid w:val="0"/>
        <w:jc w:val="center"/>
        <w:rPr>
          <w:rFonts w:ascii="宋体" w:hAnsi="宋体"/>
          <w:snapToGrid w:val="0"/>
          <w:kern w:val="0"/>
          <w:sz w:val="24"/>
          <w:szCs w:val="24"/>
        </w:rPr>
      </w:pPr>
      <w:r>
        <w:rPr>
          <w:rFonts w:hint="eastAsia" w:ascii="宋体" w:hAnsi="宋体"/>
          <w:snapToGrid w:val="0"/>
          <w:kern w:val="0"/>
          <w:sz w:val="24"/>
          <w:szCs w:val="24"/>
        </w:rPr>
        <w:t>渠系闸门视频监视设备（要求与主机（另外招）相兼容）</w:t>
      </w:r>
    </w:p>
    <w:p>
      <w:pPr>
        <w:tabs>
          <w:tab w:val="left" w:pos="2475"/>
          <w:tab w:val="center" w:pos="4535"/>
        </w:tabs>
        <w:autoSpaceDE w:val="0"/>
        <w:autoSpaceDN w:val="0"/>
        <w:adjustRightInd w:val="0"/>
        <w:snapToGrid w:val="0"/>
        <w:rPr>
          <w:rFonts w:ascii="宋体" w:hAnsi="宋体"/>
          <w:snapToGrid w:val="0"/>
          <w:kern w:val="0"/>
          <w:sz w:val="24"/>
          <w:szCs w:val="24"/>
        </w:rPr>
      </w:pPr>
      <w:r>
        <w:rPr>
          <w:rFonts w:hint="eastAsia" w:ascii="宋体" w:hAnsi="宋体"/>
          <w:snapToGrid w:val="0"/>
          <w:kern w:val="0"/>
          <w:sz w:val="24"/>
          <w:szCs w:val="24"/>
        </w:rPr>
        <w:t>表</w:t>
      </w:r>
      <w:r>
        <w:rPr>
          <w:rFonts w:ascii="宋体" w:hAnsi="宋体"/>
          <w:snapToGrid w:val="0"/>
          <w:kern w:val="0"/>
          <w:sz w:val="24"/>
          <w:szCs w:val="24"/>
        </w:rPr>
        <w:t>1.</w:t>
      </w:r>
      <w:r>
        <w:rPr>
          <w:rFonts w:hint="eastAsia" w:ascii="宋体" w:hAnsi="宋体"/>
          <w:snapToGrid w:val="0"/>
          <w:kern w:val="0"/>
          <w:sz w:val="24"/>
          <w:szCs w:val="24"/>
        </w:rPr>
        <w:t>1</w:t>
      </w:r>
      <w:r>
        <w:rPr>
          <w:rFonts w:ascii="宋体" w:hAnsi="宋体"/>
          <w:snapToGrid w:val="0"/>
          <w:kern w:val="0"/>
          <w:sz w:val="24"/>
          <w:szCs w:val="24"/>
        </w:rPr>
        <w:t>-</w:t>
      </w:r>
      <w:r>
        <w:rPr>
          <w:rFonts w:hint="eastAsia" w:ascii="宋体" w:hAnsi="宋体"/>
          <w:snapToGrid w:val="0"/>
          <w:kern w:val="0"/>
          <w:sz w:val="24"/>
          <w:szCs w:val="24"/>
        </w:rPr>
        <w:t>1</w:t>
      </w:r>
      <w:r>
        <w:rPr>
          <w:rFonts w:ascii="宋体" w:hAnsi="宋体"/>
          <w:snapToGrid w:val="0"/>
          <w:kern w:val="0"/>
          <w:sz w:val="24"/>
          <w:szCs w:val="24"/>
        </w:rPr>
        <w:t xml:space="preserve">  </w:t>
      </w:r>
    </w:p>
    <w:tbl>
      <w:tblPr>
        <w:tblStyle w:val="6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2"/>
        <w:gridCol w:w="3504"/>
        <w:gridCol w:w="862"/>
        <w:gridCol w:w="1432"/>
        <w:gridCol w:w="319"/>
        <w:gridCol w:w="319"/>
        <w:gridCol w:w="322"/>
        <w:gridCol w:w="20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48" w:type="pct"/>
            <w:vMerge w:val="restar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ascii="宋体" w:hAnsi="宋体" w:eastAsia="宋体"/>
                <w:snapToGrid w:val="0"/>
                <w:kern w:val="0"/>
                <w:szCs w:val="21"/>
              </w:rPr>
              <w:t>序号</w:t>
            </w:r>
          </w:p>
        </w:tc>
        <w:tc>
          <w:tcPr>
            <w:tcW w:w="1821" w:type="pct"/>
            <w:vMerge w:val="restar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ascii="宋体" w:hAnsi="宋体" w:eastAsia="宋体"/>
                <w:snapToGrid w:val="0"/>
                <w:kern w:val="0"/>
                <w:szCs w:val="21"/>
              </w:rPr>
              <w:t>设备名称</w:t>
            </w:r>
          </w:p>
        </w:tc>
        <w:tc>
          <w:tcPr>
            <w:tcW w:w="448" w:type="pct"/>
            <w:vMerge w:val="restar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ascii="宋体" w:hAnsi="宋体" w:eastAsia="宋体"/>
                <w:snapToGrid w:val="0"/>
                <w:kern w:val="0"/>
                <w:szCs w:val="21"/>
              </w:rPr>
              <w:t>单位</w:t>
            </w:r>
          </w:p>
        </w:tc>
        <w:tc>
          <w:tcPr>
            <w:tcW w:w="1243" w:type="pct"/>
            <w:gridSpan w:val="4"/>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数量</w:t>
            </w:r>
          </w:p>
        </w:tc>
        <w:tc>
          <w:tcPr>
            <w:tcW w:w="1040"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48" w:type="pct"/>
            <w:vMerge w:val="continue"/>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1821" w:type="pct"/>
            <w:vMerge w:val="continue"/>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448" w:type="pct"/>
            <w:vMerge w:val="continue"/>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744"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166"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166"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166"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1040"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8"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ascii="宋体" w:hAnsi="宋体" w:eastAsia="宋体"/>
                <w:snapToGrid w:val="0"/>
                <w:kern w:val="0"/>
                <w:szCs w:val="21"/>
              </w:rPr>
              <w:t>一</w:t>
            </w:r>
          </w:p>
        </w:tc>
        <w:tc>
          <w:tcPr>
            <w:tcW w:w="1821"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视频监视系统</w:t>
            </w:r>
          </w:p>
        </w:tc>
        <w:tc>
          <w:tcPr>
            <w:tcW w:w="448"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744"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166"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166"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166"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1040"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8"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1</w:t>
            </w:r>
          </w:p>
        </w:tc>
        <w:tc>
          <w:tcPr>
            <w:tcW w:w="1821"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室外高清网络</w:t>
            </w:r>
          </w:p>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红外枪式摄像机（共11个闸门）</w:t>
            </w:r>
          </w:p>
        </w:tc>
        <w:tc>
          <w:tcPr>
            <w:tcW w:w="448"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台</w:t>
            </w:r>
          </w:p>
        </w:tc>
        <w:tc>
          <w:tcPr>
            <w:tcW w:w="744"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11</w:t>
            </w:r>
          </w:p>
        </w:tc>
        <w:tc>
          <w:tcPr>
            <w:tcW w:w="166"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166"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166"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1040"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需配防雷装置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8"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2</w:t>
            </w:r>
          </w:p>
        </w:tc>
        <w:tc>
          <w:tcPr>
            <w:tcW w:w="1821"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终端配电箱</w:t>
            </w:r>
          </w:p>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（200*300*400，不锈钢</w:t>
            </w:r>
          </w:p>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材质，防水防雾，含配</w:t>
            </w:r>
          </w:p>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电箱加热器，防止箱内</w:t>
            </w:r>
          </w:p>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雾化潮湿）</w:t>
            </w:r>
          </w:p>
        </w:tc>
        <w:tc>
          <w:tcPr>
            <w:tcW w:w="448"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台</w:t>
            </w:r>
          </w:p>
        </w:tc>
        <w:tc>
          <w:tcPr>
            <w:tcW w:w="744"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8</w:t>
            </w:r>
          </w:p>
        </w:tc>
        <w:tc>
          <w:tcPr>
            <w:tcW w:w="166"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166"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166"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1040"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（对应箱变数量）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8"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3</w:t>
            </w:r>
          </w:p>
        </w:tc>
        <w:tc>
          <w:tcPr>
            <w:tcW w:w="1821"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光纤收发器（10/100M，</w:t>
            </w:r>
          </w:p>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全/半双工自适应、光纤</w:t>
            </w:r>
          </w:p>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模式：单模/多模自适应）</w:t>
            </w:r>
          </w:p>
        </w:tc>
        <w:tc>
          <w:tcPr>
            <w:tcW w:w="448"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对</w:t>
            </w:r>
          </w:p>
        </w:tc>
        <w:tc>
          <w:tcPr>
            <w:tcW w:w="744"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8</w:t>
            </w:r>
          </w:p>
        </w:tc>
        <w:tc>
          <w:tcPr>
            <w:tcW w:w="166"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166"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166"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1040"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其中</w:t>
            </w:r>
            <w:r>
              <w:rPr>
                <w:rFonts w:ascii="宋体" w:hAnsi="宋体" w:eastAsia="宋体"/>
                <w:snapToGrid w:val="0"/>
                <w:kern w:val="0"/>
                <w:szCs w:val="21"/>
              </w:rPr>
              <w:t>3</w:t>
            </w:r>
            <w:r>
              <w:rPr>
                <w:rFonts w:hint="eastAsia" w:ascii="宋体" w:hAnsi="宋体" w:eastAsia="宋体"/>
                <w:snapToGrid w:val="0"/>
                <w:kern w:val="0"/>
                <w:szCs w:val="21"/>
              </w:rPr>
              <w:t>台要求配置</w:t>
            </w:r>
            <w:r>
              <w:rPr>
                <w:rFonts w:ascii="宋体" w:hAnsi="宋体" w:eastAsia="宋体"/>
                <w:snapToGrid w:val="0"/>
                <w:kern w:val="0"/>
                <w:szCs w:val="21"/>
              </w:rPr>
              <w:t>5</w:t>
            </w:r>
            <w:r>
              <w:rPr>
                <w:rFonts w:hint="eastAsia" w:ascii="宋体" w:hAnsi="宋体" w:eastAsia="宋体"/>
                <w:snapToGrid w:val="0"/>
                <w:kern w:val="0"/>
                <w:szCs w:val="21"/>
              </w:rPr>
              <w:t>口百兆交换机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8"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二</w:t>
            </w:r>
          </w:p>
        </w:tc>
        <w:tc>
          <w:tcPr>
            <w:tcW w:w="1821"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辅材</w:t>
            </w:r>
          </w:p>
        </w:tc>
        <w:tc>
          <w:tcPr>
            <w:tcW w:w="448"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744"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166"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166"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166"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1040"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8"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1</w:t>
            </w:r>
          </w:p>
        </w:tc>
        <w:tc>
          <w:tcPr>
            <w:tcW w:w="1821"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屏蔽网络线</w:t>
            </w:r>
          </w:p>
        </w:tc>
        <w:tc>
          <w:tcPr>
            <w:tcW w:w="448"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m</w:t>
            </w:r>
          </w:p>
        </w:tc>
        <w:tc>
          <w:tcPr>
            <w:tcW w:w="744"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1650</w:t>
            </w:r>
          </w:p>
        </w:tc>
        <w:tc>
          <w:tcPr>
            <w:tcW w:w="166"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166"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166"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1040"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8"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2</w:t>
            </w:r>
          </w:p>
        </w:tc>
        <w:tc>
          <w:tcPr>
            <w:tcW w:w="1821" w:type="pct"/>
            <w:shd w:val="clear" w:color="000000" w:fill="FFFFFF"/>
            <w:vAlign w:val="center"/>
          </w:tcPr>
          <w:p>
            <w:pPr>
              <w:adjustRightInd w:val="0"/>
              <w:snapToGrid w:val="0"/>
              <w:jc w:val="center"/>
              <w:rPr>
                <w:rFonts w:ascii="宋体" w:hAnsi="宋体" w:cs="宋体"/>
                <w:snapToGrid w:val="0"/>
                <w:kern w:val="0"/>
                <w:szCs w:val="21"/>
              </w:rPr>
            </w:pPr>
            <w:r>
              <w:rPr>
                <w:rFonts w:hint="eastAsia" w:ascii="宋体" w:hAnsi="宋体"/>
                <w:snapToGrid w:val="0"/>
                <w:kern w:val="0"/>
                <w:szCs w:val="21"/>
              </w:rPr>
              <w:t>4芯单模光缆</w:t>
            </w:r>
          </w:p>
        </w:tc>
        <w:tc>
          <w:tcPr>
            <w:tcW w:w="448"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m</w:t>
            </w:r>
          </w:p>
        </w:tc>
        <w:tc>
          <w:tcPr>
            <w:tcW w:w="744"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1650</w:t>
            </w:r>
          </w:p>
        </w:tc>
        <w:tc>
          <w:tcPr>
            <w:tcW w:w="166"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166"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166"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1040"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8"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3</w:t>
            </w:r>
          </w:p>
        </w:tc>
        <w:tc>
          <w:tcPr>
            <w:tcW w:w="1821" w:type="pct"/>
            <w:shd w:val="clear" w:color="000000" w:fill="FFFFFF"/>
            <w:vAlign w:val="center"/>
          </w:tcPr>
          <w:p>
            <w:pPr>
              <w:adjustRightInd w:val="0"/>
              <w:snapToGrid w:val="0"/>
              <w:jc w:val="center"/>
              <w:rPr>
                <w:rFonts w:ascii="宋体" w:hAnsi="宋体" w:cs="宋体"/>
                <w:snapToGrid w:val="0"/>
                <w:kern w:val="0"/>
                <w:szCs w:val="21"/>
              </w:rPr>
            </w:pPr>
            <w:r>
              <w:rPr>
                <w:rFonts w:hint="eastAsia" w:ascii="宋体" w:hAnsi="宋体"/>
                <w:snapToGrid w:val="0"/>
                <w:kern w:val="0"/>
                <w:szCs w:val="21"/>
              </w:rPr>
              <w:t>阻燃电源电缆</w:t>
            </w:r>
          </w:p>
        </w:tc>
        <w:tc>
          <w:tcPr>
            <w:tcW w:w="448"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m</w:t>
            </w:r>
          </w:p>
        </w:tc>
        <w:tc>
          <w:tcPr>
            <w:tcW w:w="744"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1650</w:t>
            </w:r>
          </w:p>
        </w:tc>
        <w:tc>
          <w:tcPr>
            <w:tcW w:w="166"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166"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166"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1040"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8"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4</w:t>
            </w:r>
          </w:p>
        </w:tc>
        <w:tc>
          <w:tcPr>
            <w:tcW w:w="1821" w:type="pct"/>
            <w:shd w:val="clear" w:color="000000" w:fill="FFFFFF"/>
            <w:vAlign w:val="center"/>
          </w:tcPr>
          <w:p>
            <w:pPr>
              <w:adjustRightInd w:val="0"/>
              <w:snapToGrid w:val="0"/>
              <w:jc w:val="center"/>
              <w:rPr>
                <w:rFonts w:ascii="宋体" w:hAnsi="宋体"/>
                <w:snapToGrid w:val="0"/>
                <w:kern w:val="0"/>
                <w:szCs w:val="21"/>
              </w:rPr>
            </w:pPr>
            <w:r>
              <w:rPr>
                <w:rFonts w:hint="eastAsia" w:ascii="宋体" w:hAnsi="宋体"/>
                <w:snapToGrid w:val="0"/>
                <w:kern w:val="0"/>
                <w:szCs w:val="21"/>
              </w:rPr>
              <w:t>其他安装辅材</w:t>
            </w:r>
          </w:p>
        </w:tc>
        <w:tc>
          <w:tcPr>
            <w:tcW w:w="448"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项</w:t>
            </w:r>
          </w:p>
        </w:tc>
        <w:tc>
          <w:tcPr>
            <w:tcW w:w="744"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1</w:t>
            </w:r>
          </w:p>
        </w:tc>
        <w:tc>
          <w:tcPr>
            <w:tcW w:w="166"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166"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166"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1040"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8"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5</w:t>
            </w:r>
          </w:p>
        </w:tc>
        <w:tc>
          <w:tcPr>
            <w:tcW w:w="1821" w:type="pct"/>
            <w:shd w:val="clear" w:color="000000" w:fill="FFFFFF"/>
            <w:vAlign w:val="center"/>
          </w:tcPr>
          <w:p>
            <w:pPr>
              <w:adjustRightInd w:val="0"/>
              <w:snapToGrid w:val="0"/>
              <w:jc w:val="center"/>
              <w:rPr>
                <w:rFonts w:ascii="宋体" w:hAnsi="宋体"/>
                <w:snapToGrid w:val="0"/>
                <w:kern w:val="0"/>
                <w:szCs w:val="21"/>
              </w:rPr>
            </w:pPr>
            <w:r>
              <w:rPr>
                <w:rFonts w:hint="eastAsia" w:ascii="宋体" w:hAnsi="宋体"/>
                <w:snapToGrid w:val="0"/>
                <w:kern w:val="0"/>
                <w:szCs w:val="21"/>
              </w:rPr>
              <w:t>视频电源</w:t>
            </w:r>
          </w:p>
        </w:tc>
        <w:tc>
          <w:tcPr>
            <w:tcW w:w="448"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套</w:t>
            </w:r>
          </w:p>
        </w:tc>
        <w:tc>
          <w:tcPr>
            <w:tcW w:w="744"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11</w:t>
            </w:r>
          </w:p>
        </w:tc>
        <w:tc>
          <w:tcPr>
            <w:tcW w:w="166"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166"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166"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1040"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8"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6</w:t>
            </w:r>
          </w:p>
        </w:tc>
        <w:tc>
          <w:tcPr>
            <w:tcW w:w="1821" w:type="pct"/>
            <w:shd w:val="clear" w:color="000000" w:fill="FFFFFF"/>
            <w:vAlign w:val="center"/>
          </w:tcPr>
          <w:p>
            <w:pPr>
              <w:adjustRightInd w:val="0"/>
              <w:snapToGrid w:val="0"/>
              <w:jc w:val="center"/>
              <w:rPr>
                <w:rFonts w:ascii="宋体" w:hAnsi="宋体"/>
                <w:snapToGrid w:val="0"/>
                <w:kern w:val="0"/>
                <w:szCs w:val="21"/>
              </w:rPr>
            </w:pPr>
            <w:r>
              <w:rPr>
                <w:rFonts w:hint="eastAsia" w:ascii="宋体" w:hAnsi="宋体"/>
                <w:snapToGrid w:val="0"/>
                <w:kern w:val="0"/>
                <w:szCs w:val="21"/>
              </w:rPr>
              <w:t>4m专用立杆</w:t>
            </w:r>
          </w:p>
        </w:tc>
        <w:tc>
          <w:tcPr>
            <w:tcW w:w="448"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套</w:t>
            </w:r>
          </w:p>
        </w:tc>
        <w:tc>
          <w:tcPr>
            <w:tcW w:w="744"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11</w:t>
            </w:r>
          </w:p>
        </w:tc>
        <w:tc>
          <w:tcPr>
            <w:tcW w:w="166"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166"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166"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1040"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对应闸门数量</w:t>
            </w:r>
          </w:p>
        </w:tc>
      </w:tr>
    </w:tbl>
    <w:p>
      <w:pPr>
        <w:autoSpaceDE w:val="0"/>
        <w:autoSpaceDN w:val="0"/>
        <w:adjustRightInd w:val="0"/>
        <w:snapToGrid w:val="0"/>
        <w:rPr>
          <w:snapToGrid w:val="0"/>
          <w:kern w:val="0"/>
          <w:szCs w:val="21"/>
        </w:rPr>
      </w:pPr>
      <w:r>
        <w:rPr>
          <w:rFonts w:hint="eastAsia"/>
          <w:snapToGrid w:val="0"/>
          <w:kern w:val="0"/>
          <w:szCs w:val="21"/>
        </w:rPr>
        <w:t>注：视频设备所用的光缆、电缆长度必须满足现场布线的要求。</w:t>
      </w:r>
    </w:p>
    <w:p>
      <w:pPr>
        <w:autoSpaceDE w:val="0"/>
        <w:autoSpaceDN w:val="0"/>
        <w:adjustRightInd w:val="0"/>
        <w:snapToGrid w:val="0"/>
        <w:jc w:val="center"/>
        <w:rPr>
          <w:snapToGrid w:val="0"/>
          <w:kern w:val="0"/>
          <w:szCs w:val="21"/>
        </w:rPr>
      </w:pPr>
    </w:p>
    <w:p>
      <w:pPr>
        <w:adjustRightInd w:val="0"/>
        <w:snapToGrid w:val="0"/>
        <w:spacing w:line="400" w:lineRule="exact"/>
        <w:ind w:firstLine="480" w:firstLineChars="200"/>
        <w:rPr>
          <w:rFonts w:ascii="宋体" w:hAnsi="宋体"/>
          <w:snapToGrid w:val="0"/>
          <w:kern w:val="0"/>
          <w:sz w:val="24"/>
          <w:szCs w:val="24"/>
        </w:rPr>
      </w:pPr>
      <w:bookmarkStart w:id="80" w:name="_Toc370803445"/>
      <w:bookmarkStart w:id="81" w:name="_Toc370803631"/>
      <w:r>
        <w:rPr>
          <w:rFonts w:ascii="宋体" w:hAnsi="宋体"/>
          <w:snapToGrid w:val="0"/>
          <w:kern w:val="0"/>
          <w:sz w:val="24"/>
          <w:szCs w:val="24"/>
        </w:rPr>
        <w:t>1.</w:t>
      </w:r>
      <w:r>
        <w:rPr>
          <w:rFonts w:hint="eastAsia" w:ascii="宋体" w:hAnsi="宋体"/>
          <w:snapToGrid w:val="0"/>
          <w:kern w:val="0"/>
          <w:sz w:val="24"/>
          <w:szCs w:val="24"/>
        </w:rPr>
        <w:t>1</w:t>
      </w:r>
      <w:r>
        <w:rPr>
          <w:rFonts w:ascii="宋体" w:hAnsi="宋体"/>
          <w:snapToGrid w:val="0"/>
          <w:kern w:val="0"/>
          <w:sz w:val="24"/>
          <w:szCs w:val="24"/>
        </w:rPr>
        <w:t>.2</w:t>
      </w:r>
      <w:r>
        <w:rPr>
          <w:rFonts w:hint="eastAsia" w:ascii="宋体" w:hAnsi="宋体"/>
          <w:snapToGrid w:val="0"/>
          <w:kern w:val="0"/>
          <w:sz w:val="24"/>
          <w:szCs w:val="24"/>
        </w:rPr>
        <w:t xml:space="preserve">  工作内容</w:t>
      </w:r>
      <w:bookmarkEnd w:id="80"/>
      <w:bookmarkEnd w:id="81"/>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1</w:t>
      </w:r>
      <w:r>
        <w:rPr>
          <w:rFonts w:hint="eastAsia" w:ascii="宋体" w:hAnsi="宋体"/>
          <w:snapToGrid w:val="0"/>
          <w:kern w:val="0"/>
          <w:sz w:val="24"/>
          <w:szCs w:val="24"/>
        </w:rPr>
        <w:t>）卖方负责供货范围内设备的设计、制造、试验、包装、运输、车板交货到买方指定地点。</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2</w:t>
      </w:r>
      <w:r>
        <w:rPr>
          <w:rFonts w:hint="eastAsia" w:ascii="宋体" w:hAnsi="宋体"/>
          <w:snapToGrid w:val="0"/>
          <w:kern w:val="0"/>
          <w:sz w:val="24"/>
          <w:szCs w:val="24"/>
        </w:rPr>
        <w:t>）组织和参加设计联络会。</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3</w:t>
      </w:r>
      <w:r>
        <w:rPr>
          <w:rFonts w:hint="eastAsia" w:ascii="宋体" w:hAnsi="宋体"/>
          <w:snapToGrid w:val="0"/>
          <w:kern w:val="0"/>
          <w:sz w:val="24"/>
          <w:szCs w:val="24"/>
        </w:rPr>
        <w:t>）负责制定试验程序，配合性能考核，指导安装、调试、质量监督，参加现场开箱交接验收和试运行。</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4</w:t>
      </w:r>
      <w:r>
        <w:rPr>
          <w:rFonts w:hint="eastAsia" w:ascii="宋体" w:hAnsi="宋体"/>
          <w:snapToGrid w:val="0"/>
          <w:kern w:val="0"/>
          <w:sz w:val="24"/>
          <w:szCs w:val="24"/>
        </w:rPr>
        <w:t>）任何元件和装置，如果在招标文件中未专门提到，但对于构成一个完整的、性能良好的相关通信设备为必不可少的，或者对于泵站、闸门安全、稳定运行或对于改善泵站、闸门运行品质是必要的，或施工、安装、调试和运行过程中易损坏的零部件（不限于此），卖方应予以提供，并列出明细表和单价，其费用包括在相应的设备总价中。</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5</w:t>
      </w:r>
      <w:r>
        <w:rPr>
          <w:rFonts w:hint="eastAsia" w:ascii="宋体" w:hAnsi="宋体"/>
          <w:snapToGrid w:val="0"/>
          <w:kern w:val="0"/>
          <w:sz w:val="24"/>
          <w:szCs w:val="24"/>
        </w:rPr>
        <w:t>）卖方应按规范有关条款的要求提交图纸、说明书、标准和规范、提供现场安装、试验的指导监督和技术培训；完成与泵站、闸门设计有关的设计联络；接受买方代表参加工厂检验、见证、目睹和验收试验；对买方人员的培训服务、与其他承包人之间的协调。</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（6）鉴于视频技术发展较快，供货商提供的设备不能低于供货时视频技术的发展水平。</w:t>
      </w:r>
    </w:p>
    <w:p>
      <w:pPr>
        <w:adjustRightInd w:val="0"/>
        <w:snapToGrid w:val="0"/>
        <w:spacing w:line="400" w:lineRule="exact"/>
        <w:ind w:firstLine="480" w:firstLineChars="200"/>
        <w:rPr>
          <w:rFonts w:ascii="宋体" w:hAnsi="宋体"/>
          <w:snapToGrid w:val="0"/>
          <w:kern w:val="0"/>
          <w:sz w:val="24"/>
          <w:szCs w:val="24"/>
        </w:rPr>
      </w:pPr>
      <w:bookmarkStart w:id="82" w:name="_Toc87516627"/>
      <w:bookmarkStart w:id="83" w:name="_Toc100638759"/>
      <w:bookmarkStart w:id="84" w:name="_Toc187829911"/>
      <w:bookmarkStart w:id="85" w:name="_Toc370803446"/>
      <w:bookmarkStart w:id="86" w:name="_Toc370803632"/>
      <w:bookmarkStart w:id="87" w:name="_Toc426295038"/>
      <w:bookmarkStart w:id="88" w:name="_Toc258918983"/>
      <w:bookmarkStart w:id="89" w:name="_Toc370375006"/>
      <w:r>
        <w:rPr>
          <w:rFonts w:ascii="宋体" w:hAnsi="宋体"/>
          <w:snapToGrid w:val="0"/>
          <w:kern w:val="0"/>
          <w:sz w:val="24"/>
          <w:szCs w:val="24"/>
        </w:rPr>
        <w:t>1.</w:t>
      </w:r>
      <w:r>
        <w:rPr>
          <w:rFonts w:hint="eastAsia" w:ascii="宋体" w:hAnsi="宋体"/>
          <w:snapToGrid w:val="0"/>
          <w:kern w:val="0"/>
          <w:sz w:val="24"/>
          <w:szCs w:val="24"/>
        </w:rPr>
        <w:t>2  备品备件与专用工具</w:t>
      </w:r>
      <w:bookmarkEnd w:id="82"/>
      <w:bookmarkEnd w:id="83"/>
      <w:bookmarkEnd w:id="84"/>
      <w:bookmarkEnd w:id="85"/>
      <w:bookmarkEnd w:id="86"/>
      <w:bookmarkEnd w:id="87"/>
    </w:p>
    <w:p>
      <w:pPr>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1.</w:t>
      </w:r>
      <w:r>
        <w:rPr>
          <w:rFonts w:hint="eastAsia" w:ascii="宋体" w:hAnsi="宋体"/>
          <w:snapToGrid w:val="0"/>
          <w:kern w:val="0"/>
          <w:sz w:val="24"/>
          <w:szCs w:val="24"/>
        </w:rPr>
        <w:t>2</w:t>
      </w:r>
      <w:r>
        <w:rPr>
          <w:rFonts w:ascii="宋体" w:hAnsi="宋体"/>
          <w:snapToGrid w:val="0"/>
          <w:kern w:val="0"/>
          <w:sz w:val="24"/>
          <w:szCs w:val="24"/>
        </w:rPr>
        <w:t>.1</w:t>
      </w:r>
      <w:r>
        <w:rPr>
          <w:rFonts w:hint="eastAsia" w:ascii="宋体" w:hAnsi="宋体"/>
          <w:snapToGrid w:val="0"/>
          <w:kern w:val="0"/>
          <w:sz w:val="24"/>
          <w:szCs w:val="24"/>
        </w:rPr>
        <w:t xml:space="preserve">  备品备件</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1</w:t>
      </w:r>
      <w:r>
        <w:rPr>
          <w:rFonts w:hint="eastAsia" w:ascii="宋体" w:hAnsi="宋体"/>
          <w:snapToGrid w:val="0"/>
          <w:kern w:val="0"/>
          <w:sz w:val="24"/>
          <w:szCs w:val="24"/>
        </w:rPr>
        <w:t>）卖方提供系统长期安全运行所需的备品备件。在安装、调试和试运行阶段所需的各种消耗品应由卖方提供。</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2</w:t>
      </w:r>
      <w:r>
        <w:rPr>
          <w:rFonts w:hint="eastAsia" w:ascii="宋体" w:hAnsi="宋体"/>
          <w:snapToGrid w:val="0"/>
          <w:kern w:val="0"/>
          <w:sz w:val="24"/>
          <w:szCs w:val="24"/>
        </w:rPr>
        <w:t>）所有备品、备件应具有良好的互换性，采用与原部件相同的材料工艺和具有相同的质量。备品备件应单独包装和保护完好，以利存放，并应在其包装外部清晰地加以标志。</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3</w:t>
      </w:r>
      <w:r>
        <w:rPr>
          <w:rFonts w:hint="eastAsia" w:ascii="宋体" w:hAnsi="宋体"/>
          <w:snapToGrid w:val="0"/>
          <w:kern w:val="0"/>
          <w:sz w:val="24"/>
          <w:szCs w:val="24"/>
        </w:rPr>
        <w:t>）卖方认为必要的备品备件应单独列表进行逐项报价（含单价），以供买方选择采购。</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4</w:t>
      </w:r>
      <w:r>
        <w:rPr>
          <w:rFonts w:hint="eastAsia" w:ascii="宋体" w:hAnsi="宋体"/>
          <w:snapToGrid w:val="0"/>
          <w:kern w:val="0"/>
          <w:sz w:val="24"/>
          <w:szCs w:val="24"/>
        </w:rPr>
        <w:t>）所有备品备件应随合同首批设备一起供货。</w:t>
      </w:r>
    </w:p>
    <w:p>
      <w:pPr>
        <w:adjustRightInd w:val="0"/>
        <w:snapToGrid w:val="0"/>
        <w:spacing w:line="400" w:lineRule="exact"/>
        <w:ind w:firstLine="480" w:firstLineChars="200"/>
        <w:rPr>
          <w:rFonts w:ascii="宋体" w:hAnsi="宋体"/>
          <w:snapToGrid w:val="0"/>
          <w:kern w:val="0"/>
          <w:sz w:val="24"/>
          <w:szCs w:val="24"/>
        </w:rPr>
      </w:pPr>
      <w:bookmarkStart w:id="90" w:name="_Toc31791913"/>
      <w:r>
        <w:rPr>
          <w:rFonts w:ascii="宋体" w:hAnsi="宋体"/>
          <w:snapToGrid w:val="0"/>
          <w:kern w:val="0"/>
          <w:sz w:val="24"/>
          <w:szCs w:val="24"/>
        </w:rPr>
        <w:t>1.</w:t>
      </w:r>
      <w:r>
        <w:rPr>
          <w:rFonts w:hint="eastAsia" w:ascii="宋体" w:hAnsi="宋体"/>
          <w:snapToGrid w:val="0"/>
          <w:kern w:val="0"/>
          <w:sz w:val="24"/>
          <w:szCs w:val="24"/>
        </w:rPr>
        <w:t>2</w:t>
      </w:r>
      <w:r>
        <w:rPr>
          <w:rFonts w:ascii="宋体" w:hAnsi="宋体"/>
          <w:snapToGrid w:val="0"/>
          <w:kern w:val="0"/>
          <w:sz w:val="24"/>
          <w:szCs w:val="24"/>
        </w:rPr>
        <w:t>.2</w:t>
      </w:r>
      <w:r>
        <w:rPr>
          <w:rFonts w:hint="eastAsia" w:ascii="宋体" w:hAnsi="宋体"/>
          <w:snapToGrid w:val="0"/>
          <w:kern w:val="0"/>
          <w:sz w:val="24"/>
          <w:szCs w:val="24"/>
        </w:rPr>
        <w:t xml:space="preserve">  专用工器具</w:t>
      </w:r>
      <w:bookmarkEnd w:id="90"/>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1</w:t>
      </w:r>
      <w:r>
        <w:rPr>
          <w:rFonts w:hint="eastAsia" w:ascii="宋体" w:hAnsi="宋体"/>
          <w:snapToGrid w:val="0"/>
          <w:kern w:val="0"/>
          <w:sz w:val="24"/>
          <w:szCs w:val="24"/>
        </w:rPr>
        <w:t>）卖方应提供系统长期安全稳定运行所需的正常维护和保养所需的维修工具和试验设备。在安装、调试和试运行阶段所需的各种工具和消耗品应由卖方提供。</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2</w:t>
      </w:r>
      <w:r>
        <w:rPr>
          <w:rFonts w:hint="eastAsia" w:ascii="宋体" w:hAnsi="宋体"/>
          <w:snapToGrid w:val="0"/>
          <w:kern w:val="0"/>
          <w:sz w:val="24"/>
          <w:szCs w:val="24"/>
        </w:rPr>
        <w:t>）卖方认为必要增加的专用工具及特殊材料应单独列表</w:t>
      </w:r>
      <w:r>
        <w:rPr>
          <w:rFonts w:ascii="宋体" w:hAnsi="宋体"/>
          <w:snapToGrid w:val="0"/>
          <w:kern w:val="0"/>
          <w:sz w:val="24"/>
          <w:szCs w:val="24"/>
        </w:rPr>
        <w:t>(</w:t>
      </w:r>
      <w:r>
        <w:rPr>
          <w:rFonts w:hint="eastAsia" w:ascii="宋体" w:hAnsi="宋体"/>
          <w:snapToGrid w:val="0"/>
          <w:kern w:val="0"/>
          <w:sz w:val="24"/>
          <w:szCs w:val="24"/>
        </w:rPr>
        <w:t>清单注明名称、型号、规格数量用途及单价），进行逐项报价（含单价），以供买方选择采购。</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3</w:t>
      </w:r>
      <w:r>
        <w:rPr>
          <w:rFonts w:hint="eastAsia" w:ascii="宋体" w:hAnsi="宋体"/>
          <w:snapToGrid w:val="0"/>
          <w:kern w:val="0"/>
          <w:sz w:val="24"/>
          <w:szCs w:val="24"/>
        </w:rPr>
        <w:t>）所有专用工器具应随合同首批设备一齐供货。</w:t>
      </w:r>
    </w:p>
    <w:bookmarkEnd w:id="88"/>
    <w:bookmarkEnd w:id="89"/>
    <w:p>
      <w:pPr>
        <w:adjustRightInd w:val="0"/>
        <w:snapToGrid w:val="0"/>
        <w:spacing w:line="400" w:lineRule="exact"/>
        <w:ind w:firstLine="480" w:firstLineChars="200"/>
        <w:rPr>
          <w:rFonts w:ascii="宋体" w:hAnsi="宋体"/>
          <w:snapToGrid w:val="0"/>
          <w:kern w:val="0"/>
          <w:sz w:val="24"/>
          <w:szCs w:val="24"/>
        </w:rPr>
      </w:pPr>
      <w:bookmarkStart w:id="91" w:name="_Toc13908122"/>
      <w:bookmarkStart w:id="92" w:name="_Toc34642498"/>
      <w:bookmarkStart w:id="93" w:name="_Toc184534398"/>
      <w:bookmarkStart w:id="94" w:name="_Toc258918984"/>
      <w:bookmarkStart w:id="95" w:name="_Toc370483642"/>
      <w:bookmarkStart w:id="96" w:name="_Toc370803448"/>
      <w:bookmarkStart w:id="97" w:name="_Toc370803634"/>
      <w:bookmarkStart w:id="98" w:name="_Toc426295039"/>
      <w:r>
        <w:rPr>
          <w:rFonts w:ascii="宋体" w:hAnsi="宋体"/>
          <w:snapToGrid w:val="0"/>
          <w:kern w:val="0"/>
          <w:sz w:val="24"/>
          <w:szCs w:val="24"/>
        </w:rPr>
        <w:t>1.</w:t>
      </w:r>
      <w:r>
        <w:rPr>
          <w:rFonts w:hint="eastAsia" w:ascii="宋体" w:hAnsi="宋体"/>
          <w:snapToGrid w:val="0"/>
          <w:kern w:val="0"/>
          <w:sz w:val="24"/>
          <w:szCs w:val="24"/>
        </w:rPr>
        <w:t>3  规范、标准</w:t>
      </w:r>
      <w:bookmarkEnd w:id="91"/>
      <w:bookmarkEnd w:id="92"/>
      <w:bookmarkEnd w:id="93"/>
      <w:bookmarkEnd w:id="94"/>
      <w:bookmarkEnd w:id="95"/>
      <w:bookmarkEnd w:id="96"/>
      <w:bookmarkEnd w:id="97"/>
      <w:bookmarkEnd w:id="98"/>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除另有说明外，卖方提供的所有设备、器件都应符合下列最新版本的标准和规程：</w:t>
      </w:r>
    </w:p>
    <w:p>
      <w:pPr>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IEC</w:t>
      </w:r>
      <w:r>
        <w:rPr>
          <w:rFonts w:hint="eastAsia" w:ascii="宋体" w:hAnsi="宋体"/>
          <w:snapToGrid w:val="0"/>
          <w:kern w:val="0"/>
          <w:sz w:val="24"/>
          <w:szCs w:val="24"/>
        </w:rPr>
        <w:t xml:space="preserve">          国际电工技术委员会标准</w:t>
      </w:r>
    </w:p>
    <w:p>
      <w:pPr>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ISO</w:t>
      </w:r>
      <w:r>
        <w:rPr>
          <w:rFonts w:hint="eastAsia" w:ascii="宋体" w:hAnsi="宋体"/>
          <w:snapToGrid w:val="0"/>
          <w:kern w:val="0"/>
          <w:sz w:val="24"/>
          <w:szCs w:val="24"/>
        </w:rPr>
        <w:t xml:space="preserve">          国际标准化协会标准</w:t>
      </w:r>
    </w:p>
    <w:p>
      <w:pPr>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IEEE</w:t>
      </w:r>
      <w:r>
        <w:rPr>
          <w:rFonts w:hint="eastAsia" w:ascii="宋体" w:hAnsi="宋体"/>
          <w:snapToGrid w:val="0"/>
          <w:kern w:val="0"/>
          <w:sz w:val="24"/>
          <w:szCs w:val="24"/>
        </w:rPr>
        <w:t xml:space="preserve">         电气和电子工程师协会标准</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GB           中华人民共和国国家标准</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DL           中国电力行业标准</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SL           中国水利行业</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SD或SDJ     原国家水利电力部标准</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当各标准不一致时，应按较高标准条款执行，并经买方认可。</w:t>
      </w:r>
    </w:p>
    <w:p>
      <w:pPr>
        <w:adjustRightInd w:val="0"/>
        <w:snapToGrid w:val="0"/>
        <w:spacing w:line="400" w:lineRule="exact"/>
        <w:ind w:firstLine="480" w:firstLineChars="200"/>
        <w:rPr>
          <w:rFonts w:ascii="宋体" w:hAnsi="宋体"/>
          <w:snapToGrid w:val="0"/>
          <w:kern w:val="0"/>
          <w:sz w:val="24"/>
          <w:szCs w:val="24"/>
        </w:rPr>
      </w:pPr>
      <w:bookmarkStart w:id="99" w:name="_Toc13908124"/>
      <w:bookmarkStart w:id="100" w:name="_Toc34642500"/>
      <w:bookmarkStart w:id="101" w:name="_Toc370803450"/>
      <w:bookmarkStart w:id="102" w:name="_Toc370803636"/>
      <w:bookmarkStart w:id="103" w:name="_Toc426295040"/>
      <w:bookmarkStart w:id="104" w:name="_Toc162330422"/>
      <w:bookmarkStart w:id="105" w:name="_Toc156017291"/>
      <w:bookmarkStart w:id="106" w:name="_Toc38253087"/>
      <w:bookmarkStart w:id="107" w:name="_Toc41707932"/>
      <w:r>
        <w:rPr>
          <w:rFonts w:ascii="宋体" w:hAnsi="宋体"/>
          <w:snapToGrid w:val="0"/>
          <w:kern w:val="0"/>
          <w:sz w:val="24"/>
          <w:szCs w:val="24"/>
        </w:rPr>
        <w:t>1.</w:t>
      </w:r>
      <w:r>
        <w:rPr>
          <w:rFonts w:hint="eastAsia" w:ascii="宋体" w:hAnsi="宋体"/>
          <w:snapToGrid w:val="0"/>
          <w:kern w:val="0"/>
          <w:sz w:val="24"/>
          <w:szCs w:val="24"/>
        </w:rPr>
        <w:t>4  质量保证措施</w:t>
      </w:r>
      <w:bookmarkEnd w:id="99"/>
      <w:bookmarkEnd w:id="100"/>
      <w:bookmarkEnd w:id="101"/>
      <w:bookmarkEnd w:id="102"/>
      <w:bookmarkEnd w:id="103"/>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1</w:t>
      </w:r>
      <w:r>
        <w:rPr>
          <w:rFonts w:hint="eastAsia" w:ascii="宋体" w:hAnsi="宋体"/>
          <w:snapToGrid w:val="0"/>
          <w:kern w:val="0"/>
          <w:sz w:val="24"/>
          <w:szCs w:val="24"/>
        </w:rPr>
        <w:t>）卖方应按要求完成全部材料、机械和电气的组件尺寸测量和试验。质量保证措施包括材料试验、无损伤检测、试验、目睹试验及现场安装试验等。</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2</w:t>
      </w:r>
      <w:r>
        <w:rPr>
          <w:rFonts w:hint="eastAsia" w:ascii="宋体" w:hAnsi="宋体"/>
          <w:snapToGrid w:val="0"/>
          <w:kern w:val="0"/>
          <w:sz w:val="24"/>
          <w:szCs w:val="24"/>
        </w:rPr>
        <w:t>）卖方应提供其质量体系文件或质量手册供买方审查。</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3</w:t>
      </w:r>
      <w:r>
        <w:rPr>
          <w:rFonts w:hint="eastAsia" w:ascii="宋体" w:hAnsi="宋体"/>
          <w:snapToGrid w:val="0"/>
          <w:kern w:val="0"/>
          <w:sz w:val="24"/>
          <w:szCs w:val="24"/>
        </w:rPr>
        <w:t>）质量保证应按照</w:t>
      </w:r>
      <w:r>
        <w:rPr>
          <w:rFonts w:ascii="宋体" w:hAnsi="宋体"/>
          <w:snapToGrid w:val="0"/>
          <w:kern w:val="0"/>
          <w:sz w:val="24"/>
          <w:szCs w:val="24"/>
        </w:rPr>
        <w:t xml:space="preserve">ISO 9000 </w:t>
      </w:r>
      <w:r>
        <w:rPr>
          <w:rFonts w:hint="eastAsia" w:ascii="宋体" w:hAnsi="宋体"/>
          <w:snapToGrid w:val="0"/>
          <w:kern w:val="0"/>
          <w:sz w:val="24"/>
          <w:szCs w:val="24"/>
        </w:rPr>
        <w:t>质量管理体系标准（</w:t>
      </w:r>
      <w:r>
        <w:rPr>
          <w:rFonts w:ascii="宋体" w:hAnsi="宋体"/>
          <w:snapToGrid w:val="0"/>
          <w:kern w:val="0"/>
          <w:sz w:val="24"/>
          <w:szCs w:val="24"/>
        </w:rPr>
        <w:t>ISO 9001</w:t>
      </w:r>
      <w:r>
        <w:rPr>
          <w:rFonts w:hint="eastAsia" w:ascii="宋体" w:hAnsi="宋体"/>
          <w:snapToGrid w:val="0"/>
          <w:kern w:val="0"/>
          <w:sz w:val="24"/>
          <w:szCs w:val="24"/>
        </w:rPr>
        <w:t>，</w:t>
      </w:r>
      <w:r>
        <w:rPr>
          <w:rFonts w:ascii="宋体" w:hAnsi="宋体"/>
          <w:snapToGrid w:val="0"/>
          <w:kern w:val="0"/>
          <w:sz w:val="24"/>
          <w:szCs w:val="24"/>
        </w:rPr>
        <w:t>ISO 9002</w:t>
      </w:r>
      <w:r>
        <w:rPr>
          <w:rFonts w:hint="eastAsia" w:ascii="宋体" w:hAnsi="宋体"/>
          <w:snapToGrid w:val="0"/>
          <w:kern w:val="0"/>
          <w:sz w:val="24"/>
          <w:szCs w:val="24"/>
        </w:rPr>
        <w:t>，</w:t>
      </w:r>
      <w:r>
        <w:rPr>
          <w:rFonts w:ascii="宋体" w:hAnsi="宋体"/>
          <w:snapToGrid w:val="0"/>
          <w:kern w:val="0"/>
          <w:sz w:val="24"/>
          <w:szCs w:val="24"/>
        </w:rPr>
        <w:t>ISO 9003</w:t>
      </w:r>
      <w:r>
        <w:rPr>
          <w:rFonts w:hint="eastAsia" w:ascii="宋体" w:hAnsi="宋体"/>
          <w:snapToGrid w:val="0"/>
          <w:kern w:val="0"/>
          <w:sz w:val="24"/>
          <w:szCs w:val="24"/>
        </w:rPr>
        <w:t>，</w:t>
      </w:r>
      <w:r>
        <w:rPr>
          <w:rFonts w:ascii="宋体" w:hAnsi="宋体"/>
          <w:snapToGrid w:val="0"/>
          <w:kern w:val="0"/>
          <w:sz w:val="24"/>
          <w:szCs w:val="24"/>
        </w:rPr>
        <w:t>ISO 9004</w:t>
      </w:r>
      <w:r>
        <w:rPr>
          <w:rFonts w:hint="eastAsia" w:ascii="宋体" w:hAnsi="宋体"/>
          <w:snapToGrid w:val="0"/>
          <w:kern w:val="0"/>
          <w:sz w:val="24"/>
          <w:szCs w:val="24"/>
        </w:rPr>
        <w:t>等）进行。</w:t>
      </w:r>
    </w:p>
    <w:bookmarkEnd w:id="104"/>
    <w:bookmarkEnd w:id="105"/>
    <w:bookmarkEnd w:id="106"/>
    <w:bookmarkEnd w:id="107"/>
    <w:p>
      <w:pPr>
        <w:adjustRightInd w:val="0"/>
        <w:snapToGrid w:val="0"/>
        <w:spacing w:line="400" w:lineRule="exact"/>
        <w:ind w:firstLine="480" w:firstLineChars="200"/>
        <w:rPr>
          <w:rFonts w:ascii="宋体" w:hAnsi="宋体"/>
          <w:snapToGrid w:val="0"/>
          <w:kern w:val="0"/>
          <w:sz w:val="24"/>
          <w:szCs w:val="24"/>
        </w:rPr>
      </w:pPr>
      <w:bookmarkStart w:id="108" w:name="_Toc370803644"/>
      <w:bookmarkStart w:id="109" w:name="_Toc370803458"/>
      <w:bookmarkStart w:id="110" w:name="_Toc426295041"/>
      <w:r>
        <w:rPr>
          <w:rFonts w:ascii="宋体" w:hAnsi="宋体"/>
          <w:snapToGrid w:val="0"/>
          <w:kern w:val="0"/>
          <w:sz w:val="24"/>
          <w:szCs w:val="24"/>
        </w:rPr>
        <w:t>1.</w:t>
      </w:r>
      <w:r>
        <w:rPr>
          <w:rFonts w:hint="eastAsia" w:ascii="宋体" w:hAnsi="宋体"/>
          <w:snapToGrid w:val="0"/>
          <w:kern w:val="0"/>
          <w:sz w:val="24"/>
          <w:szCs w:val="24"/>
        </w:rPr>
        <w:t>5  铭牌</w:t>
      </w:r>
      <w:bookmarkEnd w:id="108"/>
      <w:bookmarkEnd w:id="109"/>
      <w:r>
        <w:rPr>
          <w:rFonts w:hint="eastAsia" w:ascii="宋体" w:hAnsi="宋体"/>
          <w:snapToGrid w:val="0"/>
          <w:kern w:val="0"/>
          <w:sz w:val="24"/>
          <w:szCs w:val="24"/>
        </w:rPr>
        <w:t>和标识</w:t>
      </w:r>
      <w:bookmarkEnd w:id="110"/>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1</w:t>
      </w:r>
      <w:r>
        <w:rPr>
          <w:rFonts w:hint="eastAsia" w:ascii="宋体" w:hAnsi="宋体"/>
          <w:snapToGrid w:val="0"/>
          <w:kern w:val="0"/>
          <w:sz w:val="24"/>
          <w:szCs w:val="24"/>
        </w:rPr>
        <w:t>）本系统及附属设备（包括分包商提供的设备）均应装有铭牌。铭牌用不受气候影响的材料制成，并安装在明显位置。铭牌不能褪色，并且要适合于当地气候条件。</w:t>
      </w:r>
    </w:p>
    <w:p>
      <w:pPr>
        <w:adjustRightInd w:val="0"/>
        <w:snapToGrid w:val="0"/>
        <w:spacing w:line="400" w:lineRule="exact"/>
        <w:ind w:firstLine="480" w:firstLineChars="200"/>
        <w:rPr>
          <w:rFonts w:ascii="宋体" w:hAnsi="宋体"/>
          <w:snapToGrid w:val="0"/>
          <w:kern w:val="0"/>
          <w:sz w:val="24"/>
          <w:szCs w:val="24"/>
          <w:highlight w:val="yellow"/>
        </w:rPr>
      </w:pPr>
      <w:r>
        <w:rPr>
          <w:rFonts w:hint="eastAsia" w:ascii="宋体" w:hAnsi="宋体"/>
          <w:snapToGrid w:val="0"/>
          <w:kern w:val="0"/>
          <w:sz w:val="24"/>
          <w:szCs w:val="24"/>
        </w:rPr>
        <w:t>（</w:t>
      </w:r>
      <w:r>
        <w:rPr>
          <w:rFonts w:ascii="宋体" w:hAnsi="宋体"/>
          <w:snapToGrid w:val="0"/>
          <w:kern w:val="0"/>
          <w:sz w:val="24"/>
          <w:szCs w:val="24"/>
        </w:rPr>
        <w:t>2</w:t>
      </w:r>
      <w:r>
        <w:rPr>
          <w:rFonts w:hint="eastAsia" w:ascii="宋体" w:hAnsi="宋体"/>
          <w:snapToGrid w:val="0"/>
          <w:kern w:val="0"/>
          <w:sz w:val="24"/>
          <w:szCs w:val="24"/>
        </w:rPr>
        <w:t>）铭牌上所有项目应采用中文和英文对照，清晰、耐久地书写在铭牌上。</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3</w:t>
      </w:r>
      <w:r>
        <w:rPr>
          <w:rFonts w:hint="eastAsia" w:ascii="宋体" w:hAnsi="宋体"/>
          <w:snapToGrid w:val="0"/>
          <w:kern w:val="0"/>
          <w:sz w:val="24"/>
          <w:szCs w:val="24"/>
        </w:rPr>
        <w:t>）铭牌上应表示下述各项内容：</w:t>
      </w:r>
    </w:p>
    <w:p>
      <w:pPr>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1</w:t>
      </w:r>
      <w:r>
        <w:rPr>
          <w:rFonts w:hint="eastAsia" w:ascii="宋体" w:hAnsi="宋体"/>
          <w:snapToGrid w:val="0"/>
          <w:kern w:val="0"/>
          <w:sz w:val="24"/>
          <w:szCs w:val="24"/>
        </w:rPr>
        <w:t>）设备名称、型号、产品代号；</w:t>
      </w:r>
    </w:p>
    <w:p>
      <w:pPr>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2</w:t>
      </w:r>
      <w:r>
        <w:rPr>
          <w:rFonts w:hint="eastAsia" w:ascii="宋体" w:hAnsi="宋体"/>
          <w:snapToGrid w:val="0"/>
          <w:kern w:val="0"/>
          <w:sz w:val="24"/>
          <w:szCs w:val="24"/>
        </w:rPr>
        <w:t>）标准代号；</w:t>
      </w:r>
    </w:p>
    <w:p>
      <w:pPr>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3</w:t>
      </w:r>
      <w:r>
        <w:rPr>
          <w:rFonts w:hint="eastAsia" w:ascii="宋体" w:hAnsi="宋体"/>
          <w:snapToGrid w:val="0"/>
          <w:kern w:val="0"/>
          <w:sz w:val="24"/>
          <w:szCs w:val="24"/>
        </w:rPr>
        <w:t>）制造厂名、地址；</w:t>
      </w:r>
    </w:p>
    <w:p>
      <w:pPr>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4</w:t>
      </w:r>
      <w:r>
        <w:rPr>
          <w:rFonts w:hint="eastAsia" w:ascii="宋体" w:hAnsi="宋体"/>
          <w:snapToGrid w:val="0"/>
          <w:kern w:val="0"/>
          <w:sz w:val="24"/>
          <w:szCs w:val="24"/>
        </w:rPr>
        <w:t>）出厂序号；</w:t>
      </w:r>
    </w:p>
    <w:p>
      <w:pPr>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5</w:t>
      </w:r>
      <w:r>
        <w:rPr>
          <w:rFonts w:hint="eastAsia" w:ascii="宋体" w:hAnsi="宋体"/>
          <w:snapToGrid w:val="0"/>
          <w:kern w:val="0"/>
          <w:sz w:val="24"/>
          <w:szCs w:val="24"/>
        </w:rPr>
        <w:t>）制造年月；</w:t>
      </w:r>
    </w:p>
    <w:p>
      <w:pPr>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6</w:t>
      </w:r>
      <w:r>
        <w:rPr>
          <w:rFonts w:hint="eastAsia" w:ascii="宋体" w:hAnsi="宋体"/>
          <w:snapToGrid w:val="0"/>
          <w:kern w:val="0"/>
          <w:sz w:val="24"/>
          <w:szCs w:val="24"/>
        </w:rPr>
        <w:t>）使用条件（户内使用、海拔高程等）；</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7）总重量（</w:t>
      </w:r>
      <w:r>
        <w:rPr>
          <w:rFonts w:ascii="宋体" w:hAnsi="宋体"/>
          <w:snapToGrid w:val="0"/>
          <w:kern w:val="0"/>
          <w:sz w:val="24"/>
          <w:szCs w:val="24"/>
        </w:rPr>
        <w:t>kg</w:t>
      </w:r>
      <w:r>
        <w:rPr>
          <w:rFonts w:hint="eastAsia" w:ascii="宋体" w:hAnsi="宋体"/>
          <w:snapToGrid w:val="0"/>
          <w:kern w:val="0"/>
          <w:sz w:val="24"/>
          <w:szCs w:val="24"/>
        </w:rPr>
        <w:t>或</w:t>
      </w:r>
      <w:r>
        <w:rPr>
          <w:rFonts w:ascii="宋体" w:hAnsi="宋体"/>
          <w:snapToGrid w:val="0"/>
          <w:kern w:val="0"/>
          <w:sz w:val="24"/>
          <w:szCs w:val="24"/>
        </w:rPr>
        <w:t>t</w:t>
      </w:r>
      <w:r>
        <w:rPr>
          <w:rFonts w:hint="eastAsia" w:ascii="宋体" w:hAnsi="宋体"/>
          <w:snapToGrid w:val="0"/>
          <w:kern w:val="0"/>
          <w:sz w:val="24"/>
          <w:szCs w:val="24"/>
        </w:rPr>
        <w:t>）；</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8）尺寸（</w:t>
      </w:r>
      <w:r>
        <w:rPr>
          <w:rFonts w:ascii="宋体" w:hAnsi="宋体"/>
          <w:snapToGrid w:val="0"/>
          <w:kern w:val="0"/>
          <w:sz w:val="24"/>
          <w:szCs w:val="24"/>
        </w:rPr>
        <w:t>mm</w:t>
      </w:r>
      <w:r>
        <w:rPr>
          <w:rFonts w:hint="eastAsia" w:ascii="宋体" w:hAnsi="宋体"/>
          <w:snapToGrid w:val="0"/>
          <w:kern w:val="0"/>
          <w:sz w:val="24"/>
          <w:szCs w:val="24"/>
        </w:rPr>
        <w:t>）；</w:t>
      </w:r>
    </w:p>
    <w:p>
      <w:pPr>
        <w:adjustRightInd w:val="0"/>
        <w:snapToGrid w:val="0"/>
        <w:spacing w:line="400" w:lineRule="exact"/>
        <w:ind w:firstLine="480" w:firstLineChars="200"/>
        <w:rPr>
          <w:rFonts w:ascii="宋体" w:hAnsi="宋体"/>
          <w:snapToGrid w:val="0"/>
          <w:kern w:val="0"/>
          <w:sz w:val="24"/>
          <w:szCs w:val="24"/>
        </w:rPr>
      </w:pPr>
      <w:bookmarkStart w:id="111" w:name="_Toc38253089"/>
      <w:bookmarkStart w:id="112" w:name="_Toc41707934"/>
      <w:bookmarkStart w:id="113" w:name="_Toc156017293"/>
      <w:bookmarkStart w:id="114" w:name="_Toc162330424"/>
      <w:bookmarkStart w:id="115" w:name="_Toc258918985"/>
      <w:r>
        <w:rPr>
          <w:rFonts w:hint="eastAsia" w:ascii="宋体" w:hAnsi="宋体"/>
          <w:snapToGrid w:val="0"/>
          <w:kern w:val="0"/>
          <w:sz w:val="24"/>
          <w:szCs w:val="24"/>
        </w:rPr>
        <w:t>9）特殊说明</w:t>
      </w:r>
      <w:bookmarkEnd w:id="111"/>
      <w:bookmarkEnd w:id="112"/>
      <w:bookmarkEnd w:id="113"/>
      <w:bookmarkEnd w:id="114"/>
      <w:bookmarkEnd w:id="115"/>
      <w:r>
        <w:rPr>
          <w:rFonts w:hint="eastAsia" w:ascii="宋体" w:hAnsi="宋体"/>
          <w:snapToGrid w:val="0"/>
          <w:kern w:val="0"/>
          <w:sz w:val="24"/>
          <w:szCs w:val="24"/>
        </w:rPr>
        <w:t>事项。</w:t>
      </w:r>
    </w:p>
    <w:p>
      <w:pPr>
        <w:adjustRightInd w:val="0"/>
        <w:snapToGrid w:val="0"/>
        <w:spacing w:line="400" w:lineRule="exact"/>
        <w:ind w:firstLine="480" w:firstLineChars="200"/>
        <w:rPr>
          <w:rFonts w:ascii="宋体" w:hAnsi="宋体"/>
          <w:snapToGrid w:val="0"/>
          <w:kern w:val="0"/>
          <w:sz w:val="24"/>
          <w:szCs w:val="24"/>
        </w:rPr>
      </w:pPr>
      <w:bookmarkStart w:id="116" w:name="_Toc370483643"/>
      <w:bookmarkStart w:id="117" w:name="_Toc370803459"/>
      <w:bookmarkStart w:id="118" w:name="_Toc370803645"/>
      <w:bookmarkStart w:id="119" w:name="_Toc426295042"/>
      <w:r>
        <w:rPr>
          <w:rFonts w:ascii="宋体" w:hAnsi="宋体"/>
          <w:snapToGrid w:val="0"/>
          <w:kern w:val="0"/>
          <w:sz w:val="24"/>
          <w:szCs w:val="24"/>
        </w:rPr>
        <w:t>1.</w:t>
      </w:r>
      <w:r>
        <w:rPr>
          <w:rFonts w:hint="eastAsia" w:ascii="宋体" w:hAnsi="宋体"/>
          <w:snapToGrid w:val="0"/>
          <w:kern w:val="0"/>
          <w:sz w:val="24"/>
          <w:szCs w:val="24"/>
        </w:rPr>
        <w:t>6  包装</w:t>
      </w:r>
      <w:bookmarkEnd w:id="116"/>
      <w:bookmarkEnd w:id="117"/>
      <w:bookmarkEnd w:id="118"/>
      <w:r>
        <w:rPr>
          <w:rFonts w:hint="eastAsia" w:ascii="宋体" w:hAnsi="宋体"/>
          <w:snapToGrid w:val="0"/>
          <w:kern w:val="0"/>
          <w:sz w:val="24"/>
          <w:szCs w:val="24"/>
        </w:rPr>
        <w:t>、标识和运输</w:t>
      </w:r>
      <w:bookmarkEnd w:id="119"/>
    </w:p>
    <w:p>
      <w:pPr>
        <w:pStyle w:val="34"/>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设备包装与标志应符合主合同的有关规定。在满足主合同规定的同时，还应满足《产品包装运输管理条件》和《机电产品包装通用技术条件》（</w:t>
      </w:r>
      <w:r>
        <w:rPr>
          <w:rFonts w:ascii="宋体" w:hAnsi="宋体"/>
          <w:snapToGrid w:val="0"/>
          <w:kern w:val="0"/>
          <w:sz w:val="24"/>
          <w:szCs w:val="24"/>
        </w:rPr>
        <w:t>GB/T13384</w:t>
      </w:r>
      <w:r>
        <w:rPr>
          <w:rFonts w:hint="eastAsia" w:ascii="宋体" w:hAnsi="宋体"/>
          <w:snapToGrid w:val="0"/>
          <w:kern w:val="0"/>
          <w:sz w:val="24"/>
          <w:szCs w:val="24"/>
        </w:rPr>
        <w:t>）的规定及以下要求：</w:t>
      </w:r>
    </w:p>
    <w:p>
      <w:pPr>
        <w:pStyle w:val="34"/>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1</w:t>
      </w:r>
      <w:r>
        <w:rPr>
          <w:rFonts w:hint="eastAsia" w:ascii="宋体" w:hAnsi="宋体"/>
          <w:snapToGrid w:val="0"/>
          <w:kern w:val="0"/>
          <w:sz w:val="24"/>
          <w:szCs w:val="24"/>
        </w:rPr>
        <w:t>）卖方应根据合同设备的不同形状和特点，采用防潮、防雨、防锈、防震、防腐的坚固包装。该包装应适应多次搬运和内陆运输，以保证合同设备安全无损地抵达安装地点。对于为保证精确装配而需具备明亮洁净加工面的合同设备，其加工面应采用品质优良、坚固耐久的保护层（不得用油漆）以防止在安装前发生锈蚀。</w:t>
      </w:r>
    </w:p>
    <w:p>
      <w:pPr>
        <w:pStyle w:val="34"/>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2</w:t>
      </w:r>
      <w:r>
        <w:rPr>
          <w:rFonts w:hint="eastAsia" w:ascii="宋体" w:hAnsi="宋体"/>
          <w:snapToGrid w:val="0"/>
          <w:kern w:val="0"/>
          <w:sz w:val="24"/>
          <w:szCs w:val="24"/>
        </w:rPr>
        <w:t>）卖方应对包装箱中设备零部件挂上标牌，标明其部件名称、规格型号、主要设备名称或编号及其在装配图中的位置号。合同设备部件在包装箱中应堆放有序，不同部件应分开。备品备件和安装维修工具除按上述要求标记外，还应相应标上“备品备件”、“维修设备”、“试验设备”或“安装维修工具”字样，单独包装，不与其它设备部件混装于同一箱件中，在装箱单中也应加以注明。除备品备件外，不同的工具和消耗品应分别包装。</w:t>
      </w:r>
    </w:p>
    <w:p>
      <w:pPr>
        <w:pStyle w:val="34"/>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3</w:t>
      </w:r>
      <w:r>
        <w:rPr>
          <w:rFonts w:hint="eastAsia" w:ascii="宋体" w:hAnsi="宋体"/>
          <w:snapToGrid w:val="0"/>
          <w:kern w:val="0"/>
          <w:sz w:val="24"/>
          <w:szCs w:val="24"/>
        </w:rPr>
        <w:t>）卖方应在每个包装箱的四周用不褪色油漆以醒目的中文和英文刷上以下标记：</w:t>
      </w:r>
    </w:p>
    <w:p>
      <w:pPr>
        <w:pStyle w:val="34"/>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1</w:t>
      </w:r>
      <w:r>
        <w:rPr>
          <w:rFonts w:hint="eastAsia" w:ascii="宋体" w:hAnsi="宋体"/>
          <w:snapToGrid w:val="0"/>
          <w:kern w:val="0"/>
          <w:sz w:val="24"/>
          <w:szCs w:val="24"/>
        </w:rPr>
        <w:t>）合同号；</w:t>
      </w:r>
    </w:p>
    <w:p>
      <w:pPr>
        <w:pStyle w:val="34"/>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2</w:t>
      </w:r>
      <w:r>
        <w:rPr>
          <w:rFonts w:hint="eastAsia" w:ascii="宋体" w:hAnsi="宋体"/>
          <w:snapToGrid w:val="0"/>
          <w:kern w:val="0"/>
          <w:sz w:val="24"/>
          <w:szCs w:val="24"/>
        </w:rPr>
        <w:t>）商标标记；</w:t>
      </w:r>
    </w:p>
    <w:p>
      <w:pPr>
        <w:pStyle w:val="34"/>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mc:AlternateContent>
          <mc:Choice Requires="wps">
            <w:drawing>
              <wp:anchor distT="0" distB="0" distL="114300" distR="114300" simplePos="0" relativeHeight="251665408" behindDoc="0" locked="0" layoutInCell="0" allowOverlap="1">
                <wp:simplePos x="0" y="0"/>
                <wp:positionH relativeFrom="column">
                  <wp:posOffset>2399665</wp:posOffset>
                </wp:positionH>
                <wp:positionV relativeFrom="paragraph">
                  <wp:posOffset>254635</wp:posOffset>
                </wp:positionV>
                <wp:extent cx="114935" cy="635"/>
                <wp:effectExtent l="0" t="0" r="0" b="0"/>
                <wp:wrapNone/>
                <wp:docPr id="1" name="Rectangle 1026"/>
                <wp:cNvGraphicFramePr/>
                <a:graphic xmlns:a="http://schemas.openxmlformats.org/drawingml/2006/main">
                  <a:graphicData uri="http://schemas.microsoft.com/office/word/2010/wordprocessingShape">
                    <wps:wsp>
                      <wps:cNvSpPr/>
                      <wps:spPr>
                        <a:xfrm>
                          <a:off x="0" y="0"/>
                          <a:ext cx="114935" cy="635"/>
                        </a:xfrm>
                        <a:prstGeom prst="rect">
                          <a:avLst/>
                        </a:prstGeom>
                        <a:solidFill>
                          <a:srgbClr val="000080"/>
                        </a:solidFill>
                        <a:ln>
                          <a:noFill/>
                        </a:ln>
                      </wps:spPr>
                      <wps:bodyPr upright="1"/>
                    </wps:wsp>
                  </a:graphicData>
                </a:graphic>
              </wp:anchor>
            </w:drawing>
          </mc:Choice>
          <mc:Fallback>
            <w:pict>
              <v:rect id="Rectangle 1026" o:spid="_x0000_s1026" o:spt="1" style="position:absolute;left:0pt;margin-left:188.95pt;margin-top:20.05pt;height:0.05pt;width:9.05pt;z-index:251665408;mso-width-relative:page;mso-height-relative:page;" fillcolor="#000080" filled="t" stroked="f" coordsize="21600,21600" o:allowincell="f" o:gfxdata="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">
                <v:fill on="t" focussize="0,0"/>
                <v:stroke on="f"/>
                <v:imagedata o:title=""/>
                <o:lock v:ext="edit" aspectratio="f"/>
              </v:rect>
            </w:pict>
          </mc:Fallback>
        </mc:AlternateContent>
      </w:r>
      <w:r>
        <w:rPr>
          <w:rFonts w:ascii="宋体" w:hAnsi="宋体"/>
          <w:snapToGrid w:val="0"/>
          <w:kern w:val="0"/>
          <w:sz w:val="24"/>
          <w:szCs w:val="24"/>
        </w:rPr>
        <w:t>3</w:t>
      </w:r>
      <w:r>
        <w:rPr>
          <w:rFonts w:hint="eastAsia" w:ascii="宋体" w:hAnsi="宋体"/>
          <w:snapToGrid w:val="0"/>
          <w:kern w:val="0"/>
          <w:sz w:val="24"/>
          <w:szCs w:val="24"/>
        </w:rPr>
        <w:t>）目的地；</w:t>
      </w:r>
    </w:p>
    <w:p>
      <w:pPr>
        <w:pStyle w:val="34"/>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4</w:t>
      </w:r>
      <w:r>
        <w:rPr>
          <w:rFonts w:hint="eastAsia" w:ascii="宋体" w:hAnsi="宋体"/>
          <w:snapToGrid w:val="0"/>
          <w:kern w:val="0"/>
          <w:sz w:val="24"/>
          <w:szCs w:val="24"/>
        </w:rPr>
        <w:t>）收货人；</w:t>
      </w:r>
    </w:p>
    <w:p>
      <w:pPr>
        <w:pStyle w:val="34"/>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5</w:t>
      </w:r>
      <w:r>
        <w:rPr>
          <w:rFonts w:hint="eastAsia" w:ascii="宋体" w:hAnsi="宋体"/>
          <w:snapToGrid w:val="0"/>
          <w:kern w:val="0"/>
          <w:sz w:val="24"/>
          <w:szCs w:val="24"/>
        </w:rPr>
        <w:t>）合同设备名称、设备编号和包装箱号；</w:t>
      </w:r>
    </w:p>
    <w:p>
      <w:pPr>
        <w:pStyle w:val="34"/>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6</w:t>
      </w:r>
      <w:r>
        <w:rPr>
          <w:rFonts w:hint="eastAsia" w:ascii="宋体" w:hAnsi="宋体"/>
          <w:snapToGrid w:val="0"/>
          <w:kern w:val="0"/>
          <w:sz w:val="24"/>
          <w:szCs w:val="24"/>
        </w:rPr>
        <w:t>）收货人编号；</w:t>
      </w:r>
    </w:p>
    <w:p>
      <w:pPr>
        <w:pStyle w:val="34"/>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7</w:t>
      </w:r>
      <w:r>
        <w:rPr>
          <w:rFonts w:hint="eastAsia" w:ascii="宋体" w:hAnsi="宋体"/>
          <w:snapToGrid w:val="0"/>
          <w:kern w:val="0"/>
          <w:sz w:val="24"/>
          <w:szCs w:val="24"/>
        </w:rPr>
        <w:t>）毛重／净重（千克）；</w:t>
      </w:r>
    </w:p>
    <w:p>
      <w:pPr>
        <w:pStyle w:val="34"/>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8</w:t>
      </w:r>
      <w:r>
        <w:rPr>
          <w:rFonts w:hint="eastAsia" w:ascii="宋体" w:hAnsi="宋体"/>
          <w:snapToGrid w:val="0"/>
          <w:kern w:val="0"/>
          <w:sz w:val="24"/>
          <w:szCs w:val="24"/>
        </w:rPr>
        <w:t>）体积（长×宽×高</w:t>
      </w:r>
      <w:r>
        <w:rPr>
          <w:rFonts w:ascii="宋体" w:hAnsi="宋体"/>
          <w:snapToGrid w:val="0"/>
          <w:kern w:val="0"/>
          <w:sz w:val="24"/>
          <w:szCs w:val="24"/>
        </w:rPr>
        <w:t xml:space="preserve"> cm</w:t>
      </w:r>
      <w:r>
        <w:rPr>
          <w:rFonts w:hint="eastAsia" w:ascii="宋体" w:hAnsi="宋体"/>
          <w:snapToGrid w:val="0"/>
          <w:kern w:val="0"/>
          <w:sz w:val="24"/>
          <w:szCs w:val="24"/>
        </w:rPr>
        <w:t>）；</w:t>
      </w:r>
    </w:p>
    <w:p>
      <w:pPr>
        <w:pStyle w:val="34"/>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9</w:t>
      </w:r>
      <w:r>
        <w:rPr>
          <w:rFonts w:hint="eastAsia" w:ascii="宋体" w:hAnsi="宋体"/>
          <w:snapToGrid w:val="0"/>
          <w:kern w:val="0"/>
          <w:sz w:val="24"/>
          <w:szCs w:val="24"/>
        </w:rPr>
        <w:t>）仓储等级。</w:t>
      </w:r>
    </w:p>
    <w:p>
      <w:pPr>
        <w:pStyle w:val="34"/>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对裸装的合同设备，上述内容应用至少两个金属标牌标明并牢固地固定在其相应位置上。对经买方事先允许可以装在甲板上运输的大件货物，应提供足够的支承架和包装垫木。裸装合同设备的装箱单应分别集中包装，随合同设备同时发运。</w:t>
      </w:r>
    </w:p>
    <w:p>
      <w:pPr>
        <w:pStyle w:val="34"/>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卖方应在重量大于或等于</w:t>
      </w:r>
      <w:r>
        <w:rPr>
          <w:rFonts w:ascii="宋体" w:hAnsi="宋体"/>
          <w:snapToGrid w:val="0"/>
          <w:kern w:val="0"/>
          <w:sz w:val="24"/>
          <w:szCs w:val="24"/>
        </w:rPr>
        <w:t>2t</w:t>
      </w:r>
      <w:r>
        <w:rPr>
          <w:rFonts w:hint="eastAsia" w:ascii="宋体" w:hAnsi="宋体"/>
          <w:snapToGrid w:val="0"/>
          <w:kern w:val="0"/>
          <w:sz w:val="24"/>
          <w:szCs w:val="24"/>
        </w:rPr>
        <w:t>的每个包装箱的相邻四侧用国际贸易运输常用的标记标明重量、重心和吊点的位置以便于装卸和搬运。根据合同设备的特点和在运输中的不同要求，卖方应在包装箱上用中文和英文醒目地标明“小心轻放”、“勿倒置”、“保持干燥”等字样以及相应的国际贸易通用的标记图案。</w:t>
      </w:r>
    </w:p>
    <w:p>
      <w:pPr>
        <w:pStyle w:val="34"/>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在合同设备的每件包装中都应附有下列单据：详细装箱单副本一式</w:t>
      </w:r>
      <w:r>
        <w:rPr>
          <w:rFonts w:ascii="宋体" w:hAnsi="宋体"/>
          <w:snapToGrid w:val="0"/>
          <w:kern w:val="0"/>
          <w:sz w:val="24"/>
          <w:szCs w:val="24"/>
        </w:rPr>
        <w:t>2</w:t>
      </w:r>
      <w:r>
        <w:rPr>
          <w:rFonts w:hint="eastAsia" w:ascii="宋体" w:hAnsi="宋体"/>
          <w:snapToGrid w:val="0"/>
          <w:kern w:val="0"/>
          <w:sz w:val="24"/>
          <w:szCs w:val="24"/>
        </w:rPr>
        <w:t>份（包装箱内外各</w:t>
      </w:r>
      <w:r>
        <w:rPr>
          <w:rFonts w:ascii="宋体" w:hAnsi="宋体"/>
          <w:snapToGrid w:val="0"/>
          <w:kern w:val="0"/>
          <w:sz w:val="24"/>
          <w:szCs w:val="24"/>
        </w:rPr>
        <w:t>1</w:t>
      </w:r>
      <w:r>
        <w:rPr>
          <w:rFonts w:hint="eastAsia" w:ascii="宋体" w:hAnsi="宋体"/>
          <w:snapToGrid w:val="0"/>
          <w:kern w:val="0"/>
          <w:sz w:val="24"/>
          <w:szCs w:val="24"/>
        </w:rPr>
        <w:t>份）、质量合格证副本一式</w:t>
      </w:r>
      <w:r>
        <w:rPr>
          <w:rFonts w:ascii="宋体" w:hAnsi="宋体"/>
          <w:snapToGrid w:val="0"/>
          <w:kern w:val="0"/>
          <w:sz w:val="24"/>
          <w:szCs w:val="24"/>
        </w:rPr>
        <w:t>2</w:t>
      </w:r>
      <w:r>
        <w:rPr>
          <w:rFonts w:hint="eastAsia" w:ascii="宋体" w:hAnsi="宋体"/>
          <w:snapToGrid w:val="0"/>
          <w:kern w:val="0"/>
          <w:sz w:val="24"/>
          <w:szCs w:val="24"/>
        </w:rPr>
        <w:t>份、相关合同设备的技术文件副本</w:t>
      </w:r>
      <w:r>
        <w:rPr>
          <w:rFonts w:ascii="宋体" w:hAnsi="宋体"/>
          <w:snapToGrid w:val="0"/>
          <w:kern w:val="0"/>
          <w:sz w:val="24"/>
          <w:szCs w:val="24"/>
        </w:rPr>
        <w:t>2</w:t>
      </w:r>
      <w:r>
        <w:rPr>
          <w:rFonts w:hint="eastAsia" w:ascii="宋体" w:hAnsi="宋体"/>
          <w:snapToGrid w:val="0"/>
          <w:kern w:val="0"/>
          <w:sz w:val="24"/>
          <w:szCs w:val="24"/>
        </w:rPr>
        <w:t>份、需要安装的设备及部件的详细系统装配图副本</w:t>
      </w:r>
      <w:r>
        <w:rPr>
          <w:rFonts w:ascii="宋体" w:hAnsi="宋体"/>
          <w:snapToGrid w:val="0"/>
          <w:kern w:val="0"/>
          <w:sz w:val="24"/>
          <w:szCs w:val="24"/>
        </w:rPr>
        <w:t>2</w:t>
      </w:r>
      <w:r>
        <w:rPr>
          <w:rFonts w:hint="eastAsia" w:ascii="宋体" w:hAnsi="宋体"/>
          <w:snapToGrid w:val="0"/>
          <w:kern w:val="0"/>
          <w:sz w:val="24"/>
          <w:szCs w:val="24"/>
        </w:rPr>
        <w:t>份。在装箱单中应注明技术文件和装配图所处箱件。</w:t>
      </w:r>
    </w:p>
    <w:p>
      <w:pPr>
        <w:pStyle w:val="34"/>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4</w:t>
      </w:r>
      <w:r>
        <w:rPr>
          <w:rFonts w:hint="eastAsia" w:ascii="宋体" w:hAnsi="宋体"/>
          <w:snapToGrid w:val="0"/>
          <w:kern w:val="0"/>
          <w:sz w:val="24"/>
          <w:szCs w:val="24"/>
        </w:rPr>
        <w:t>）卖方应按本条款的规定对其提供的包装不善而引起的合同设备的锈蚀、变形、短缺、损坏和丢失负责修理、更换或赔偿。</w:t>
      </w:r>
    </w:p>
    <w:p>
      <w:pPr>
        <w:pStyle w:val="34"/>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5</w:t>
      </w:r>
      <w:r>
        <w:rPr>
          <w:rFonts w:hint="eastAsia" w:ascii="宋体" w:hAnsi="宋体"/>
          <w:snapToGrid w:val="0"/>
          <w:kern w:val="0"/>
          <w:sz w:val="24"/>
          <w:szCs w:val="24"/>
        </w:rPr>
        <w:t>）如果使用集装箱运输，卖方应在装运前对集装箱内部和外部的状况进行全面检查，以确保用于运输合同设备的集装箱状态良好。集装箱内应备有充足的货物支架和包装垫木，以防止合同设备在集装箱内移动。卖方应对因其疏忽而导致的合同设备的任何损坏和丢失负责。</w:t>
      </w:r>
    </w:p>
    <w:p>
      <w:pPr>
        <w:pStyle w:val="34"/>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6</w:t>
      </w:r>
      <w:r>
        <w:rPr>
          <w:rFonts w:hint="eastAsia" w:ascii="宋体" w:hAnsi="宋体"/>
          <w:snapToGrid w:val="0"/>
          <w:kern w:val="0"/>
          <w:sz w:val="24"/>
          <w:szCs w:val="24"/>
        </w:rPr>
        <w:t>）在整个运输过程中凡由于卖方包装或保管不善致使货物遭到损坏或丢失时</w:t>
      </w:r>
      <w:r>
        <w:rPr>
          <w:rFonts w:ascii="宋体" w:hAnsi="宋体"/>
          <w:snapToGrid w:val="0"/>
          <w:kern w:val="0"/>
          <w:sz w:val="24"/>
          <w:szCs w:val="24"/>
        </w:rPr>
        <w:t>,</w:t>
      </w:r>
      <w:r>
        <w:rPr>
          <w:rFonts w:hint="eastAsia" w:ascii="宋体" w:hAnsi="宋体"/>
          <w:snapToGrid w:val="0"/>
          <w:kern w:val="0"/>
          <w:sz w:val="24"/>
          <w:szCs w:val="24"/>
        </w:rPr>
        <w:t>卖方均应按本合同规定负责及时修理、更换或赔偿。如果因卖方在包装和商标标记方面发生的错误或混淆不清事宜造成合同设备的误运，卖方应承担由此发生的额外费用。在运输中如非卖方包装原因发生货物损坏和丢失时，买方应立即向承运部门索取相关证明文件，并通知卖方。买方负责与承运部门及保险公司交涉，卖方协助买方尽快处理，同时卖方应尽快向买方补供货物以满足工期需要，其费用由买方承担。</w:t>
      </w:r>
    </w:p>
    <w:p>
      <w:pPr>
        <w:pStyle w:val="34"/>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7</w:t>
      </w:r>
      <w:r>
        <w:rPr>
          <w:rFonts w:hint="eastAsia" w:ascii="宋体" w:hAnsi="宋体"/>
          <w:snapToGrid w:val="0"/>
          <w:kern w:val="0"/>
          <w:sz w:val="24"/>
          <w:szCs w:val="24"/>
        </w:rPr>
        <w:t>）对于大件合同设备，卖方应提供足够的支架或包装垫木，且支架或包装垫木归买方所有。</w:t>
      </w:r>
    </w:p>
    <w:p>
      <w:pPr>
        <w:pStyle w:val="34"/>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8</w:t>
      </w:r>
      <w:r>
        <w:rPr>
          <w:rFonts w:hint="eastAsia" w:ascii="宋体" w:hAnsi="宋体"/>
          <w:snapToGrid w:val="0"/>
          <w:kern w:val="0"/>
          <w:sz w:val="24"/>
          <w:szCs w:val="24"/>
        </w:rPr>
        <w:t>）本合同项下合同设备的包装物不回收。</w:t>
      </w:r>
    </w:p>
    <w:p>
      <w:pPr>
        <w:pStyle w:val="34"/>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9</w:t>
      </w:r>
      <w:r>
        <w:rPr>
          <w:rFonts w:hint="eastAsia" w:ascii="宋体" w:hAnsi="宋体"/>
          <w:snapToGrid w:val="0"/>
          <w:kern w:val="0"/>
          <w:sz w:val="24"/>
          <w:szCs w:val="24"/>
        </w:rPr>
        <w:t>）卖方应自行考察公路运输路线以确定合理的运输方案。</w:t>
      </w:r>
    </w:p>
    <w:p>
      <w:pPr>
        <w:pStyle w:val="34"/>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10</w:t>
      </w:r>
      <w:r>
        <w:rPr>
          <w:rFonts w:hint="eastAsia" w:ascii="宋体" w:hAnsi="宋体"/>
          <w:snapToGrid w:val="0"/>
          <w:kern w:val="0"/>
          <w:sz w:val="24"/>
          <w:szCs w:val="24"/>
        </w:rPr>
        <w:t>）随产品提供的技术资料应完整无缺，并应另寄一份给买方。</w:t>
      </w:r>
    </w:p>
    <w:p>
      <w:pPr>
        <w:adjustRightInd w:val="0"/>
        <w:snapToGrid w:val="0"/>
        <w:spacing w:line="400" w:lineRule="exact"/>
        <w:ind w:firstLine="480" w:firstLineChars="200"/>
        <w:rPr>
          <w:rFonts w:ascii="宋体" w:hAnsi="宋体"/>
          <w:snapToGrid w:val="0"/>
          <w:kern w:val="0"/>
          <w:sz w:val="24"/>
          <w:szCs w:val="24"/>
        </w:rPr>
      </w:pPr>
      <w:bookmarkStart w:id="120" w:name="_Toc370483645"/>
      <w:bookmarkStart w:id="121" w:name="_Toc370803464"/>
      <w:bookmarkStart w:id="122" w:name="_Toc370803650"/>
      <w:bookmarkStart w:id="123" w:name="_Toc426295043"/>
      <w:bookmarkStart w:id="124" w:name="_Toc13908134"/>
      <w:bookmarkStart w:id="125" w:name="_Toc34642510"/>
      <w:r>
        <w:rPr>
          <w:rFonts w:ascii="宋体" w:hAnsi="宋体"/>
          <w:snapToGrid w:val="0"/>
          <w:kern w:val="0"/>
          <w:sz w:val="24"/>
          <w:szCs w:val="24"/>
        </w:rPr>
        <w:t>1.</w:t>
      </w:r>
      <w:r>
        <w:rPr>
          <w:rFonts w:hint="eastAsia" w:ascii="宋体" w:hAnsi="宋体"/>
          <w:snapToGrid w:val="0"/>
          <w:kern w:val="0"/>
          <w:sz w:val="24"/>
          <w:szCs w:val="24"/>
        </w:rPr>
        <w:t>7  图纸及资料</w:t>
      </w:r>
      <w:bookmarkEnd w:id="120"/>
      <w:bookmarkEnd w:id="121"/>
      <w:bookmarkEnd w:id="122"/>
      <w:bookmarkEnd w:id="123"/>
    </w:p>
    <w:bookmarkEnd w:id="124"/>
    <w:bookmarkEnd w:id="125"/>
    <w:p>
      <w:pPr>
        <w:adjustRightInd w:val="0"/>
        <w:snapToGrid w:val="0"/>
        <w:spacing w:line="400" w:lineRule="exact"/>
        <w:ind w:firstLine="480" w:firstLineChars="200"/>
        <w:rPr>
          <w:rFonts w:ascii="宋体" w:hAnsi="宋体"/>
          <w:snapToGrid w:val="0"/>
          <w:kern w:val="0"/>
          <w:sz w:val="24"/>
          <w:szCs w:val="24"/>
        </w:rPr>
      </w:pPr>
      <w:bookmarkStart w:id="126" w:name="_Toc370803465"/>
      <w:bookmarkStart w:id="127" w:name="_Toc370803651"/>
      <w:bookmarkStart w:id="128" w:name="_Toc31791914"/>
      <w:r>
        <w:rPr>
          <w:rFonts w:ascii="宋体" w:hAnsi="宋体"/>
          <w:snapToGrid w:val="0"/>
          <w:kern w:val="0"/>
          <w:sz w:val="24"/>
          <w:szCs w:val="24"/>
        </w:rPr>
        <w:t>1.</w:t>
      </w:r>
      <w:r>
        <w:rPr>
          <w:rFonts w:hint="eastAsia" w:ascii="宋体" w:hAnsi="宋体"/>
          <w:snapToGrid w:val="0"/>
          <w:kern w:val="0"/>
          <w:sz w:val="24"/>
          <w:szCs w:val="24"/>
        </w:rPr>
        <w:t>7</w:t>
      </w:r>
      <w:r>
        <w:rPr>
          <w:rFonts w:ascii="宋体" w:hAnsi="宋体"/>
          <w:snapToGrid w:val="0"/>
          <w:kern w:val="0"/>
          <w:sz w:val="24"/>
          <w:szCs w:val="24"/>
        </w:rPr>
        <w:t>.1</w:t>
      </w:r>
      <w:r>
        <w:rPr>
          <w:rFonts w:hint="eastAsia" w:ascii="宋体" w:hAnsi="宋体"/>
          <w:snapToGrid w:val="0"/>
          <w:kern w:val="0"/>
          <w:sz w:val="24"/>
          <w:szCs w:val="24"/>
        </w:rPr>
        <w:t xml:space="preserve">  工厂图纸</w:t>
      </w:r>
      <w:bookmarkEnd w:id="126"/>
      <w:bookmarkEnd w:id="127"/>
      <w:bookmarkEnd w:id="128"/>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1</w:t>
      </w:r>
      <w:r>
        <w:rPr>
          <w:rFonts w:hint="eastAsia" w:ascii="宋体" w:hAnsi="宋体"/>
          <w:snapToGrid w:val="0"/>
          <w:kern w:val="0"/>
          <w:sz w:val="24"/>
          <w:szCs w:val="24"/>
        </w:rPr>
        <w:t>）“工厂图纸”包括装配图、接线及安装设计图、布置图；材料和设备的清单或表格；以及说明书、材质证明、合格证、特性及试验数据等有关必需的技术文件。</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2</w:t>
      </w:r>
      <w:r>
        <w:rPr>
          <w:rFonts w:hint="eastAsia" w:ascii="宋体" w:hAnsi="宋体"/>
          <w:snapToGrid w:val="0"/>
          <w:kern w:val="0"/>
          <w:sz w:val="24"/>
          <w:szCs w:val="24"/>
        </w:rPr>
        <w:t>）工厂图纸主要类别包括：</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盘柜总体外形图及安装详图(包括尺寸、重量及开孔等)</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盘柜盘面及盘内设备布置图</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设备清单及主要设备技术说明书</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系统原理图及详细说明</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盘柜端子接线图（包括盘柜内、盘柜间以及与外部设备的端子接线）</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搬运、装卸和贮存说明书</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安装说明书</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运行、维修、操作说明书</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应用软件程序及流程说明书</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其它相关资料</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（3）工厂图纸</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工厂图纸应规定所有加工或制造项目的实际细节，指出相邻工序的适当关系，以及详述机械和电气设备有关实际尺寸的设计细节，包括为符合实际的设计或施工所允许微小的变化。工厂图纸应按比例绘制，并完整地标注尺寸，尺寸单位为公制。</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工厂图纸图幅应符合</w:t>
      </w:r>
      <w:r>
        <w:rPr>
          <w:rFonts w:ascii="宋体" w:hAnsi="宋体"/>
          <w:snapToGrid w:val="0"/>
          <w:kern w:val="0"/>
          <w:sz w:val="24"/>
          <w:szCs w:val="24"/>
        </w:rPr>
        <w:t>GB</w:t>
      </w:r>
      <w:r>
        <w:rPr>
          <w:rFonts w:hint="eastAsia" w:ascii="宋体" w:hAnsi="宋体"/>
          <w:snapToGrid w:val="0"/>
          <w:kern w:val="0"/>
          <w:sz w:val="24"/>
          <w:szCs w:val="24"/>
        </w:rPr>
        <w:t>标准，除有特殊要求更大尺寸的图外，最好不要超过</w:t>
      </w:r>
      <w:r>
        <w:rPr>
          <w:rFonts w:ascii="宋体" w:hAnsi="宋体"/>
          <w:snapToGrid w:val="0"/>
          <w:kern w:val="0"/>
          <w:sz w:val="24"/>
          <w:szCs w:val="24"/>
        </w:rPr>
        <w:t>841</w:t>
      </w:r>
      <w:bookmarkStart w:id="129" w:name="_Hlt19073139"/>
      <w:bookmarkEnd w:id="129"/>
      <w:r>
        <w:rPr>
          <w:rFonts w:ascii="宋体" w:hAnsi="宋体"/>
          <w:snapToGrid w:val="0"/>
          <w:kern w:val="0"/>
          <w:sz w:val="24"/>
          <w:szCs w:val="24"/>
        </w:rPr>
        <w:t>mm</w:t>
      </w:r>
      <w:r>
        <w:rPr>
          <w:rFonts w:hint="eastAsia" w:ascii="宋体" w:hAnsi="宋体"/>
          <w:snapToGrid w:val="0"/>
          <w:kern w:val="0"/>
          <w:sz w:val="24"/>
          <w:szCs w:val="24"/>
        </w:rPr>
        <w:t>×</w:t>
      </w:r>
      <w:r>
        <w:rPr>
          <w:rFonts w:ascii="宋体" w:hAnsi="宋体"/>
          <w:snapToGrid w:val="0"/>
          <w:kern w:val="0"/>
          <w:sz w:val="24"/>
          <w:szCs w:val="24"/>
        </w:rPr>
        <w:t>594mm</w:t>
      </w:r>
      <w:r>
        <w:rPr>
          <w:rFonts w:hint="eastAsia" w:ascii="宋体" w:hAnsi="宋体"/>
          <w:snapToGrid w:val="0"/>
          <w:kern w:val="0"/>
          <w:sz w:val="24"/>
          <w:szCs w:val="24"/>
        </w:rPr>
        <w:t>。所有大于</w:t>
      </w:r>
      <w:r>
        <w:rPr>
          <w:rFonts w:ascii="宋体" w:hAnsi="宋体"/>
          <w:snapToGrid w:val="0"/>
          <w:kern w:val="0"/>
          <w:sz w:val="24"/>
          <w:szCs w:val="24"/>
        </w:rPr>
        <w:t>A3</w:t>
      </w:r>
      <w:r>
        <w:rPr>
          <w:rFonts w:hint="eastAsia" w:ascii="宋体" w:hAnsi="宋体"/>
          <w:snapToGrid w:val="0"/>
          <w:kern w:val="0"/>
          <w:sz w:val="24"/>
          <w:szCs w:val="24"/>
        </w:rPr>
        <w:t>的图纸和文件均应折叠成</w:t>
      </w:r>
      <w:r>
        <w:rPr>
          <w:rFonts w:ascii="宋体" w:hAnsi="宋体"/>
          <w:snapToGrid w:val="0"/>
          <w:kern w:val="0"/>
          <w:sz w:val="24"/>
          <w:szCs w:val="24"/>
        </w:rPr>
        <w:t>A3</w:t>
      </w:r>
      <w:r>
        <w:rPr>
          <w:rFonts w:hint="eastAsia" w:ascii="宋体" w:hAnsi="宋体"/>
          <w:snapToGrid w:val="0"/>
          <w:kern w:val="0"/>
          <w:sz w:val="24"/>
          <w:szCs w:val="24"/>
        </w:rPr>
        <w:t>大小并装订成册后提交买方。图中所有文字，均应英文和中文对照。卖方或卖方供应商的工厂图纸和所有保证数据，样本或类似资料应由卖方或卖方供应商编制，但均应经卖方检查并作为卖方的文件予以提供。</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在工厂图纸资料提交给买方之前，卖方应检查其图纸是否满足合同技术条款规定的要求，假如工厂图纸与合同文件不同，不管是因为工厂实际标准所引起或其它原因，卖方都应在发送的信件中作专门说明。</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所有提交给买方的工厂图纸应附有卖方签字的文字说明、说明工厂图纸已被卖方检查，并已按合同技术条款的规定要求采取适当的措施以适应相邻的工序。</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正式图纸提交后，应尽量避免对其修改。若需进行修改，须得到买方的认可，并由卖方对制造、加工、安装所造成的一切损失负赔偿责任。</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在合同工作完成之前，卖方应提供</w:t>
      </w:r>
      <w:r>
        <w:rPr>
          <w:rFonts w:ascii="宋体" w:hAnsi="宋体"/>
          <w:snapToGrid w:val="0"/>
          <w:kern w:val="0"/>
          <w:sz w:val="24"/>
          <w:szCs w:val="24"/>
        </w:rPr>
        <w:t>1</w:t>
      </w:r>
      <w:r>
        <w:rPr>
          <w:rFonts w:hint="eastAsia" w:ascii="宋体" w:hAnsi="宋体"/>
          <w:snapToGrid w:val="0"/>
          <w:kern w:val="0"/>
          <w:sz w:val="24"/>
          <w:szCs w:val="24"/>
        </w:rPr>
        <w:t>整套符合现场情况，最终定型的结构和设备的永久性图纸，图纸是可复制的透明图。卖方还应提供设计计算书的复印件</w:t>
      </w:r>
      <w:r>
        <w:rPr>
          <w:rFonts w:ascii="宋体" w:hAnsi="宋体"/>
          <w:snapToGrid w:val="0"/>
          <w:kern w:val="0"/>
          <w:sz w:val="24"/>
          <w:szCs w:val="24"/>
        </w:rPr>
        <w:t>2</w:t>
      </w:r>
      <w:r>
        <w:rPr>
          <w:rFonts w:hint="eastAsia" w:ascii="宋体" w:hAnsi="宋体"/>
          <w:snapToGrid w:val="0"/>
          <w:kern w:val="0"/>
          <w:sz w:val="24"/>
          <w:szCs w:val="24"/>
        </w:rPr>
        <w:t>套（其中</w:t>
      </w:r>
      <w:r>
        <w:rPr>
          <w:rFonts w:ascii="宋体" w:hAnsi="宋体"/>
          <w:snapToGrid w:val="0"/>
          <w:kern w:val="0"/>
          <w:sz w:val="24"/>
          <w:szCs w:val="24"/>
        </w:rPr>
        <w:t>1</w:t>
      </w:r>
      <w:r>
        <w:rPr>
          <w:rFonts w:hint="eastAsia" w:ascii="宋体" w:hAnsi="宋体"/>
          <w:snapToGrid w:val="0"/>
          <w:kern w:val="0"/>
          <w:sz w:val="24"/>
          <w:szCs w:val="24"/>
        </w:rPr>
        <w:t>套提供给工程设计单位，</w:t>
      </w:r>
      <w:r>
        <w:rPr>
          <w:rFonts w:ascii="宋体" w:hAnsi="宋体"/>
          <w:snapToGrid w:val="0"/>
          <w:kern w:val="0"/>
          <w:sz w:val="24"/>
          <w:szCs w:val="24"/>
        </w:rPr>
        <w:t>1</w:t>
      </w:r>
      <w:r>
        <w:rPr>
          <w:rFonts w:hint="eastAsia" w:ascii="宋体" w:hAnsi="宋体"/>
          <w:snapToGrid w:val="0"/>
          <w:kern w:val="0"/>
          <w:sz w:val="24"/>
          <w:szCs w:val="24"/>
        </w:rPr>
        <w:t>套提供给买方）。上述永久性图纸应包括提交审查的所有图纸和用户要求提供的用于维修和部件更换的图纸。</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提供的图纸及文件资料均应装订成册的图册，图幅缩成</w:t>
      </w:r>
      <w:r>
        <w:rPr>
          <w:rFonts w:ascii="宋体" w:hAnsi="宋体"/>
          <w:snapToGrid w:val="0"/>
          <w:kern w:val="0"/>
          <w:sz w:val="24"/>
          <w:szCs w:val="24"/>
        </w:rPr>
        <w:t>297mm</w:t>
      </w:r>
      <w:r>
        <w:rPr>
          <w:rFonts w:hint="eastAsia" w:ascii="宋体" w:hAnsi="宋体"/>
          <w:snapToGrid w:val="0"/>
          <w:kern w:val="0"/>
          <w:sz w:val="24"/>
          <w:szCs w:val="24"/>
        </w:rPr>
        <w:t>×</w:t>
      </w:r>
      <w:r>
        <w:rPr>
          <w:rFonts w:ascii="宋体" w:hAnsi="宋体"/>
          <w:snapToGrid w:val="0"/>
          <w:kern w:val="0"/>
          <w:sz w:val="24"/>
          <w:szCs w:val="24"/>
        </w:rPr>
        <w:t>420mm</w:t>
      </w:r>
      <w:r>
        <w:rPr>
          <w:rFonts w:hint="eastAsia" w:ascii="宋体" w:hAnsi="宋体"/>
          <w:snapToGrid w:val="0"/>
          <w:kern w:val="0"/>
          <w:sz w:val="24"/>
          <w:szCs w:val="24"/>
        </w:rPr>
        <w:t>，所有卖方图纸应有标明图纸张数和内容的目录。</w:t>
      </w:r>
    </w:p>
    <w:p>
      <w:pPr>
        <w:adjustRightInd w:val="0"/>
        <w:snapToGrid w:val="0"/>
        <w:spacing w:line="400" w:lineRule="exact"/>
        <w:ind w:firstLine="480" w:firstLineChars="200"/>
        <w:rPr>
          <w:rFonts w:ascii="宋体" w:hAnsi="宋体"/>
          <w:snapToGrid w:val="0"/>
          <w:kern w:val="0"/>
          <w:sz w:val="24"/>
          <w:szCs w:val="24"/>
        </w:rPr>
      </w:pPr>
      <w:bookmarkStart w:id="130" w:name="_Toc370803466"/>
      <w:bookmarkStart w:id="131" w:name="_Toc370803652"/>
      <w:bookmarkStart w:id="132" w:name="_Toc31791915"/>
      <w:r>
        <w:rPr>
          <w:rFonts w:ascii="宋体" w:hAnsi="宋体"/>
          <w:snapToGrid w:val="0"/>
          <w:kern w:val="0"/>
          <w:sz w:val="24"/>
          <w:szCs w:val="24"/>
        </w:rPr>
        <w:t>1.</w:t>
      </w:r>
      <w:r>
        <w:rPr>
          <w:rFonts w:hint="eastAsia" w:ascii="宋体" w:hAnsi="宋体"/>
          <w:snapToGrid w:val="0"/>
          <w:kern w:val="0"/>
          <w:sz w:val="24"/>
          <w:szCs w:val="24"/>
        </w:rPr>
        <w:t>7</w:t>
      </w:r>
      <w:r>
        <w:rPr>
          <w:rFonts w:ascii="宋体" w:hAnsi="宋体"/>
          <w:snapToGrid w:val="0"/>
          <w:kern w:val="0"/>
          <w:sz w:val="24"/>
          <w:szCs w:val="24"/>
        </w:rPr>
        <w:t>.2</w:t>
      </w:r>
      <w:r>
        <w:rPr>
          <w:rFonts w:hint="eastAsia" w:ascii="宋体" w:hAnsi="宋体"/>
          <w:snapToGrid w:val="0"/>
          <w:kern w:val="0"/>
          <w:sz w:val="24"/>
          <w:szCs w:val="24"/>
        </w:rPr>
        <w:t xml:space="preserve">  安装、运行和维护说明书</w:t>
      </w:r>
      <w:bookmarkEnd w:id="130"/>
      <w:bookmarkEnd w:id="131"/>
      <w:bookmarkEnd w:id="132"/>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1</w:t>
      </w:r>
      <w:r>
        <w:rPr>
          <w:rFonts w:hint="eastAsia" w:ascii="宋体" w:hAnsi="宋体"/>
          <w:snapToGrid w:val="0"/>
          <w:kern w:val="0"/>
          <w:sz w:val="24"/>
          <w:szCs w:val="24"/>
        </w:rPr>
        <w:t>）概述</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本节内容包括对设备安装、运行和维护说明书的编制和提交的要求，卖方提供的所有设备，都要提供此类说明书。</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安装、运行和维护说明书应符合本节要求。卖方的供应商的说明书应经卖方检查，并作为卖方的说明书一起提交。运行和维护说明书应与所提供的设备相适应。说明书应采用英文和中文。</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2</w:t>
      </w:r>
      <w:r>
        <w:rPr>
          <w:rFonts w:hint="eastAsia" w:ascii="宋体" w:hAnsi="宋体"/>
          <w:snapToGrid w:val="0"/>
          <w:kern w:val="0"/>
          <w:sz w:val="24"/>
          <w:szCs w:val="24"/>
        </w:rPr>
        <w:t>）说明书内容</w:t>
      </w:r>
    </w:p>
    <w:p>
      <w:pPr>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1</w:t>
      </w:r>
      <w:r>
        <w:rPr>
          <w:rFonts w:hint="eastAsia" w:ascii="宋体" w:hAnsi="宋体"/>
          <w:snapToGrid w:val="0"/>
          <w:kern w:val="0"/>
          <w:sz w:val="24"/>
          <w:szCs w:val="24"/>
        </w:rPr>
        <w:t>）说明书应由封面，扉页、目录、插页和资料组成。资料内容包括概述、安装、运行、保养、故障检修、大修、部件清单和推荐的备品备件清单及附录。</w:t>
      </w:r>
    </w:p>
    <w:p>
      <w:pPr>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2</w:t>
      </w:r>
      <w:r>
        <w:rPr>
          <w:rFonts w:hint="eastAsia" w:ascii="宋体" w:hAnsi="宋体"/>
          <w:snapToGrid w:val="0"/>
          <w:kern w:val="0"/>
          <w:sz w:val="24"/>
          <w:szCs w:val="24"/>
        </w:rPr>
        <w:t>）扉页应包括设备的名称和功能、制造商的标志号以及买方的条款号和标题。</w:t>
      </w:r>
    </w:p>
    <w:p>
      <w:pPr>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3</w:t>
      </w:r>
      <w:r>
        <w:rPr>
          <w:rFonts w:hint="eastAsia" w:ascii="宋体" w:hAnsi="宋体"/>
          <w:snapToGrid w:val="0"/>
          <w:kern w:val="0"/>
          <w:sz w:val="24"/>
          <w:szCs w:val="24"/>
        </w:rPr>
        <w:t>）目录应列出说明书的所有章节和小节标题，带有每章节开头的参考页码和包括的图纸清单。</w:t>
      </w:r>
    </w:p>
    <w:p>
      <w:pPr>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4</w:t>
      </w:r>
      <w:r>
        <w:rPr>
          <w:rFonts w:hint="eastAsia" w:ascii="宋体" w:hAnsi="宋体"/>
          <w:snapToGrid w:val="0"/>
          <w:kern w:val="0"/>
          <w:sz w:val="24"/>
          <w:szCs w:val="24"/>
        </w:rPr>
        <w:t>）插页应是说明书所描述的设备识别插图。</w:t>
      </w:r>
    </w:p>
    <w:p>
      <w:pPr>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5</w:t>
      </w:r>
      <w:r>
        <w:rPr>
          <w:rFonts w:hint="eastAsia" w:ascii="宋体" w:hAnsi="宋体"/>
          <w:snapToGrid w:val="0"/>
          <w:kern w:val="0"/>
          <w:sz w:val="24"/>
          <w:szCs w:val="24"/>
        </w:rPr>
        <w:t>）叙述的资料应由图纸、图表以及设备的外形及包括主要总装件和组装件功能的描述。</w:t>
      </w:r>
    </w:p>
    <w:p>
      <w:pPr>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6</w:t>
      </w:r>
      <w:r>
        <w:rPr>
          <w:rFonts w:hint="eastAsia" w:ascii="宋体" w:hAnsi="宋体"/>
          <w:snapToGrid w:val="0"/>
          <w:kern w:val="0"/>
          <w:sz w:val="24"/>
          <w:szCs w:val="24"/>
        </w:rPr>
        <w:t>）安装资料应包括初始安装的检查、校准及运行准备。</w:t>
      </w:r>
    </w:p>
    <w:p>
      <w:pPr>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7</w:t>
      </w:r>
      <w:r>
        <w:rPr>
          <w:rFonts w:hint="eastAsia" w:ascii="宋体" w:hAnsi="宋体"/>
          <w:snapToGrid w:val="0"/>
          <w:kern w:val="0"/>
          <w:sz w:val="24"/>
          <w:szCs w:val="24"/>
        </w:rPr>
        <w:t>）维护资料应包括供设备正常运行时的检查、清扫。维修所要求的专用工具清单应包括在维修资料中。</w:t>
      </w:r>
    </w:p>
    <w:p>
      <w:pPr>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8</w:t>
      </w:r>
      <w:r>
        <w:rPr>
          <w:rFonts w:hint="eastAsia" w:ascii="宋体" w:hAnsi="宋体"/>
          <w:snapToGrid w:val="0"/>
          <w:kern w:val="0"/>
          <w:sz w:val="24"/>
          <w:szCs w:val="24"/>
        </w:rPr>
        <w:t>）整体部件的清单和推荐的备件清单，应提供所有必需的资料，包括识别部件用的部件编号和标号一览表。从其它制造商处得到的部件或组件，应标上制造商的名字及部件号，部件数量、尺寸、容量或其它特性。</w:t>
      </w:r>
    </w:p>
    <w:p>
      <w:pPr>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9</w:t>
      </w:r>
      <w:r>
        <w:rPr>
          <w:rFonts w:hint="eastAsia" w:ascii="宋体" w:hAnsi="宋体"/>
          <w:snapToGrid w:val="0"/>
          <w:kern w:val="0"/>
          <w:sz w:val="24"/>
          <w:szCs w:val="24"/>
        </w:rPr>
        <w:t>）附录应包括安全保护的全部要求，列出定期维护的项目、维护种类、计划性维修等以及参考资料或手册、术语汇编、试验报告的复印件，及其它在上述条款中未规定，但又是需要呈送的有关材料。</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此外还应提交设备在内陆运输和工地搬运、存放和维护的详细说明，说明书中应有解释、图示、尺寸和重量。并包括：</w:t>
      </w:r>
    </w:p>
    <w:p>
      <w:pPr>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1</w:t>
      </w:r>
      <w:r>
        <w:rPr>
          <w:rFonts w:hint="eastAsia" w:ascii="宋体" w:hAnsi="宋体"/>
          <w:snapToGrid w:val="0"/>
          <w:kern w:val="0"/>
          <w:sz w:val="24"/>
          <w:szCs w:val="24"/>
        </w:rPr>
        <w:t>）户外，户内和保温存放的空间要求。</w:t>
      </w:r>
    </w:p>
    <w:p>
      <w:pPr>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2</w:t>
      </w:r>
      <w:r>
        <w:rPr>
          <w:rFonts w:hint="eastAsia" w:ascii="宋体" w:hAnsi="宋体"/>
          <w:snapToGrid w:val="0"/>
          <w:kern w:val="0"/>
          <w:sz w:val="24"/>
          <w:szCs w:val="24"/>
        </w:rPr>
        <w:t>）设备的装卸、放置和堆放时应遵守的规定。</w:t>
      </w:r>
    </w:p>
    <w:p>
      <w:pPr>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3</w:t>
      </w:r>
      <w:r>
        <w:rPr>
          <w:rFonts w:hint="eastAsia" w:ascii="宋体" w:hAnsi="宋体"/>
          <w:snapToGrid w:val="0"/>
          <w:kern w:val="0"/>
          <w:sz w:val="24"/>
          <w:szCs w:val="24"/>
        </w:rPr>
        <w:t>）仓储检查和维护。</w:t>
      </w:r>
    </w:p>
    <w:p>
      <w:pPr>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4</w:t>
      </w:r>
      <w:r>
        <w:rPr>
          <w:rFonts w:hint="eastAsia" w:ascii="宋体" w:hAnsi="宋体"/>
          <w:snapToGrid w:val="0"/>
          <w:kern w:val="0"/>
          <w:sz w:val="24"/>
          <w:szCs w:val="24"/>
        </w:rPr>
        <w:t>）防护方式的采用。</w:t>
      </w:r>
    </w:p>
    <w:p>
      <w:pPr>
        <w:adjustRightInd w:val="0"/>
        <w:snapToGrid w:val="0"/>
        <w:spacing w:line="400" w:lineRule="exact"/>
        <w:ind w:firstLine="480" w:firstLineChars="200"/>
        <w:rPr>
          <w:rFonts w:ascii="宋体" w:hAnsi="宋体"/>
          <w:snapToGrid w:val="0"/>
          <w:kern w:val="0"/>
          <w:sz w:val="24"/>
          <w:szCs w:val="24"/>
        </w:rPr>
      </w:pPr>
      <w:bookmarkStart w:id="133" w:name="_Toc370803467"/>
      <w:bookmarkStart w:id="134" w:name="_Toc370803653"/>
      <w:bookmarkStart w:id="135" w:name="_Toc31791916"/>
      <w:r>
        <w:rPr>
          <w:rFonts w:ascii="宋体" w:hAnsi="宋体"/>
          <w:snapToGrid w:val="0"/>
          <w:kern w:val="0"/>
          <w:sz w:val="24"/>
          <w:szCs w:val="24"/>
        </w:rPr>
        <w:t>1.</w:t>
      </w:r>
      <w:r>
        <w:rPr>
          <w:rFonts w:hint="eastAsia" w:ascii="宋体" w:hAnsi="宋体"/>
          <w:snapToGrid w:val="0"/>
          <w:kern w:val="0"/>
          <w:sz w:val="24"/>
          <w:szCs w:val="24"/>
        </w:rPr>
        <w:t>7</w:t>
      </w:r>
      <w:r>
        <w:rPr>
          <w:rFonts w:ascii="宋体" w:hAnsi="宋体"/>
          <w:snapToGrid w:val="0"/>
          <w:kern w:val="0"/>
          <w:sz w:val="24"/>
          <w:szCs w:val="24"/>
        </w:rPr>
        <w:t>.3</w:t>
      </w:r>
      <w:r>
        <w:rPr>
          <w:rFonts w:hint="eastAsia" w:ascii="宋体" w:hAnsi="宋体"/>
          <w:snapToGrid w:val="0"/>
          <w:kern w:val="0"/>
          <w:sz w:val="24"/>
          <w:szCs w:val="24"/>
        </w:rPr>
        <w:t xml:space="preserve">  图纸和文件提交时间表</w:t>
      </w:r>
      <w:bookmarkEnd w:id="133"/>
      <w:bookmarkEnd w:id="134"/>
      <w:bookmarkEnd w:id="135"/>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如果专用技术条款中未做具体要求时，卖方应按下列要求执行；</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合同生效后</w:t>
      </w:r>
      <w:r>
        <w:rPr>
          <w:rFonts w:ascii="宋体" w:hAnsi="宋体"/>
          <w:snapToGrid w:val="0"/>
          <w:kern w:val="0"/>
          <w:sz w:val="24"/>
          <w:szCs w:val="24"/>
        </w:rPr>
        <w:t>21</w:t>
      </w:r>
      <w:r>
        <w:rPr>
          <w:rFonts w:hint="eastAsia" w:ascii="宋体" w:hAnsi="宋体"/>
          <w:snapToGrid w:val="0"/>
          <w:kern w:val="0"/>
          <w:sz w:val="24"/>
          <w:szCs w:val="24"/>
        </w:rPr>
        <w:t>天内，卖方应提供给买方</w:t>
      </w:r>
      <w:r>
        <w:rPr>
          <w:rFonts w:ascii="宋体" w:hAnsi="宋体"/>
          <w:snapToGrid w:val="0"/>
          <w:kern w:val="0"/>
          <w:sz w:val="24"/>
          <w:szCs w:val="24"/>
        </w:rPr>
        <w:t>5</w:t>
      </w:r>
      <w:r>
        <w:rPr>
          <w:rFonts w:hint="eastAsia" w:ascii="宋体" w:hAnsi="宋体"/>
          <w:snapToGrid w:val="0"/>
          <w:kern w:val="0"/>
          <w:sz w:val="24"/>
          <w:szCs w:val="24"/>
        </w:rPr>
        <w:t>份全部工厂图纸和安装、运行维护说明书的提交时间表，对应提交的有关合同产品的每份图纸都应列入清单，并标明提交时间。时间表应明确图纸提交次序和资料的完整计划，应满足合同交货期和电站设计的需要。时间表需要重新修改时，卖方应及时地通知买方并对修改的原因作详细说明。卖方的图纸和文件提交送审时间，不许超过规定。卖方提供的图纸和资料清单见专用技</w:t>
      </w:r>
      <w:bookmarkStart w:id="136" w:name="_Hlt20538729"/>
      <w:bookmarkEnd w:id="136"/>
      <w:bookmarkStart w:id="137" w:name="_Toc522672536"/>
      <w:bookmarkStart w:id="138" w:name="_Toc523045225"/>
      <w:bookmarkStart w:id="139" w:name="_Toc15374463"/>
      <w:r>
        <w:rPr>
          <w:rFonts w:hint="eastAsia" w:ascii="宋体" w:hAnsi="宋体"/>
          <w:snapToGrid w:val="0"/>
          <w:kern w:val="0"/>
          <w:sz w:val="24"/>
          <w:szCs w:val="24"/>
        </w:rPr>
        <w:t>术条款相关附件。</w:t>
      </w:r>
    </w:p>
    <w:p>
      <w:pPr>
        <w:adjustRightInd w:val="0"/>
        <w:snapToGrid w:val="0"/>
        <w:spacing w:line="400" w:lineRule="exact"/>
        <w:ind w:firstLine="480" w:firstLineChars="200"/>
        <w:rPr>
          <w:rFonts w:ascii="宋体" w:hAnsi="宋体"/>
          <w:snapToGrid w:val="0"/>
          <w:kern w:val="0"/>
          <w:sz w:val="24"/>
          <w:szCs w:val="24"/>
        </w:rPr>
      </w:pPr>
      <w:bookmarkStart w:id="140" w:name="_Toc370803468"/>
      <w:bookmarkStart w:id="141" w:name="_Toc370803654"/>
      <w:bookmarkStart w:id="142" w:name="_Toc31791917"/>
      <w:r>
        <w:rPr>
          <w:rFonts w:ascii="宋体" w:hAnsi="宋体"/>
          <w:snapToGrid w:val="0"/>
          <w:kern w:val="0"/>
          <w:sz w:val="24"/>
          <w:szCs w:val="24"/>
        </w:rPr>
        <w:t>1.</w:t>
      </w:r>
      <w:r>
        <w:rPr>
          <w:rFonts w:hint="eastAsia" w:ascii="宋体" w:hAnsi="宋体"/>
          <w:snapToGrid w:val="0"/>
          <w:kern w:val="0"/>
          <w:sz w:val="24"/>
          <w:szCs w:val="24"/>
        </w:rPr>
        <w:t>7</w:t>
      </w:r>
      <w:r>
        <w:rPr>
          <w:rFonts w:ascii="宋体" w:hAnsi="宋体"/>
          <w:snapToGrid w:val="0"/>
          <w:kern w:val="0"/>
          <w:sz w:val="24"/>
          <w:szCs w:val="24"/>
        </w:rPr>
        <w:t>.</w:t>
      </w:r>
      <w:bookmarkEnd w:id="137"/>
      <w:bookmarkEnd w:id="138"/>
      <w:bookmarkEnd w:id="139"/>
      <w:r>
        <w:rPr>
          <w:rFonts w:ascii="宋体" w:hAnsi="宋体"/>
          <w:snapToGrid w:val="0"/>
          <w:kern w:val="0"/>
          <w:sz w:val="24"/>
          <w:szCs w:val="24"/>
        </w:rPr>
        <w:t>4</w:t>
      </w:r>
      <w:r>
        <w:rPr>
          <w:rFonts w:hint="eastAsia" w:ascii="宋体" w:hAnsi="宋体"/>
          <w:snapToGrid w:val="0"/>
          <w:kern w:val="0"/>
          <w:sz w:val="24"/>
          <w:szCs w:val="24"/>
        </w:rPr>
        <w:t xml:space="preserve">  图纸和文件的审批</w:t>
      </w:r>
      <w:bookmarkEnd w:id="140"/>
      <w:bookmarkEnd w:id="141"/>
      <w:bookmarkEnd w:id="142"/>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1</w:t>
      </w:r>
      <w:r>
        <w:rPr>
          <w:rFonts w:hint="eastAsia" w:ascii="宋体" w:hAnsi="宋体"/>
          <w:snapToGrid w:val="0"/>
          <w:kern w:val="0"/>
          <w:sz w:val="24"/>
          <w:szCs w:val="24"/>
        </w:rPr>
        <w:t>）如果专用技术条款中未做具体要求时，卖方应按下列要求执行；</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2</w:t>
      </w:r>
      <w:r>
        <w:rPr>
          <w:rFonts w:hint="eastAsia" w:ascii="宋体" w:hAnsi="宋体"/>
          <w:snapToGrid w:val="0"/>
          <w:kern w:val="0"/>
          <w:sz w:val="24"/>
          <w:szCs w:val="24"/>
        </w:rPr>
        <w:t>）买方负责对所有合同设备图纸和技术文件的审批工作，但不负责审查设备的结构设计与工艺。所有工厂图纸、安装运行维护说明书，使用的设计、制造标准等技术文件均需递交买方审批。所有提供审查的图纸或文件应盖有“送审”章，并应有清洁的空白处，便于标记和评定。寄给买方</w:t>
      </w:r>
      <w:r>
        <w:rPr>
          <w:rFonts w:ascii="宋体" w:hAnsi="宋体"/>
          <w:snapToGrid w:val="0"/>
          <w:kern w:val="0"/>
          <w:sz w:val="24"/>
          <w:szCs w:val="24"/>
        </w:rPr>
        <w:t>3</w:t>
      </w:r>
      <w:r>
        <w:rPr>
          <w:rFonts w:hint="eastAsia" w:ascii="宋体" w:hAnsi="宋体"/>
          <w:snapToGrid w:val="0"/>
          <w:kern w:val="0"/>
          <w:sz w:val="24"/>
          <w:szCs w:val="24"/>
        </w:rPr>
        <w:t>份，同时寄给设计单位</w:t>
      </w:r>
      <w:r>
        <w:rPr>
          <w:rFonts w:ascii="宋体" w:hAnsi="宋体"/>
          <w:snapToGrid w:val="0"/>
          <w:kern w:val="0"/>
          <w:sz w:val="24"/>
          <w:szCs w:val="24"/>
        </w:rPr>
        <w:t>2</w:t>
      </w:r>
      <w:r>
        <w:rPr>
          <w:rFonts w:hint="eastAsia" w:ascii="宋体" w:hAnsi="宋体"/>
          <w:snapToGrid w:val="0"/>
          <w:kern w:val="0"/>
          <w:sz w:val="24"/>
          <w:szCs w:val="24"/>
        </w:rPr>
        <w:t>份。</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3</w:t>
      </w:r>
      <w:r>
        <w:rPr>
          <w:rFonts w:hint="eastAsia" w:ascii="宋体" w:hAnsi="宋体"/>
          <w:snapToGrid w:val="0"/>
          <w:kern w:val="0"/>
          <w:sz w:val="24"/>
          <w:szCs w:val="24"/>
        </w:rPr>
        <w:t>）买方将在收到送审图纸后</w:t>
      </w:r>
      <w:r>
        <w:rPr>
          <w:rFonts w:ascii="宋体" w:hAnsi="宋体"/>
          <w:snapToGrid w:val="0"/>
          <w:kern w:val="0"/>
          <w:sz w:val="24"/>
          <w:szCs w:val="24"/>
        </w:rPr>
        <w:t>28</w:t>
      </w:r>
      <w:r>
        <w:rPr>
          <w:rFonts w:hint="eastAsia" w:ascii="宋体" w:hAnsi="宋体"/>
          <w:snapToGrid w:val="0"/>
          <w:kern w:val="0"/>
          <w:sz w:val="24"/>
          <w:szCs w:val="24"/>
        </w:rPr>
        <w:t>天内审查完并回复。</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4</w:t>
      </w:r>
      <w:r>
        <w:rPr>
          <w:rFonts w:hint="eastAsia" w:ascii="宋体" w:hAnsi="宋体"/>
          <w:snapToGrid w:val="0"/>
          <w:kern w:val="0"/>
          <w:sz w:val="24"/>
          <w:szCs w:val="24"/>
        </w:rPr>
        <w:t>）买方仅对图纸和文件进行原则性审查。对不符合合同条款或任何性质的错误和疏忽，图纸或说明中的偏差，或由此偏差而可能产生的与其它产品的矛盾，均应由卖方负责。</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5</w:t>
      </w:r>
      <w:r>
        <w:rPr>
          <w:rFonts w:hint="eastAsia" w:ascii="宋体" w:hAnsi="宋体"/>
          <w:snapToGrid w:val="0"/>
          <w:kern w:val="0"/>
          <w:sz w:val="24"/>
          <w:szCs w:val="24"/>
        </w:rPr>
        <w:t>）如果在买方批准后，卖方因修改设备或工艺需再修改图纸或文件（此修改需买方批准，且卖方对由此造成的设备加工、安装及其他相关的部分的协调、质量及损失负责），则在修改完成后按相同程序将新的图纸或文件提交买方审查。</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6</w:t>
      </w:r>
      <w:r>
        <w:rPr>
          <w:rFonts w:hint="eastAsia" w:ascii="宋体" w:hAnsi="宋体"/>
          <w:snapToGrid w:val="0"/>
          <w:kern w:val="0"/>
          <w:sz w:val="24"/>
          <w:szCs w:val="24"/>
        </w:rPr>
        <w:t>）卖方提交的图纸及说明书</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卖方必须及时向买方和工程设计单位提供与本合同有关的图纸、资料；提供时间应在合同签订后</w:t>
      </w:r>
      <w:r>
        <w:rPr>
          <w:rFonts w:ascii="宋体" w:hAnsi="宋体"/>
          <w:snapToGrid w:val="0"/>
          <w:kern w:val="0"/>
          <w:sz w:val="24"/>
          <w:szCs w:val="24"/>
        </w:rPr>
        <w:t>28</w:t>
      </w:r>
      <w:r>
        <w:rPr>
          <w:rFonts w:hint="eastAsia" w:ascii="宋体" w:hAnsi="宋体"/>
          <w:snapToGrid w:val="0"/>
          <w:kern w:val="0"/>
          <w:sz w:val="24"/>
          <w:szCs w:val="24"/>
        </w:rPr>
        <w:t>天内。图纸和资料应满足买方和工程设计单位的需要。</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7</w:t>
      </w:r>
      <w:r>
        <w:rPr>
          <w:rFonts w:hint="eastAsia" w:ascii="宋体" w:hAnsi="宋体"/>
          <w:snapToGrid w:val="0"/>
          <w:kern w:val="0"/>
          <w:sz w:val="24"/>
          <w:szCs w:val="24"/>
        </w:rPr>
        <w:t>）出厂资料</w:t>
      </w:r>
    </w:p>
    <w:p>
      <w:pPr>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1</w:t>
      </w:r>
      <w:r>
        <w:rPr>
          <w:rFonts w:hint="eastAsia" w:ascii="宋体" w:hAnsi="宋体"/>
          <w:snapToGrid w:val="0"/>
          <w:kern w:val="0"/>
          <w:sz w:val="24"/>
          <w:szCs w:val="24"/>
        </w:rPr>
        <w:t>）设备装运前</w:t>
      </w:r>
      <w:r>
        <w:rPr>
          <w:rFonts w:ascii="宋体" w:hAnsi="宋体"/>
          <w:snapToGrid w:val="0"/>
          <w:kern w:val="0"/>
          <w:sz w:val="24"/>
          <w:szCs w:val="24"/>
        </w:rPr>
        <w:t>60</w:t>
      </w:r>
      <w:r>
        <w:rPr>
          <w:rFonts w:hint="eastAsia" w:ascii="宋体" w:hAnsi="宋体"/>
          <w:snapToGrid w:val="0"/>
          <w:kern w:val="0"/>
          <w:sz w:val="24"/>
          <w:szCs w:val="24"/>
        </w:rPr>
        <w:t>天前，合同设备的安装、运行、维护说明书、安装图、原理及端子接线图，应提交给买方</w:t>
      </w:r>
      <w:r>
        <w:rPr>
          <w:rFonts w:ascii="宋体" w:hAnsi="宋体"/>
          <w:snapToGrid w:val="0"/>
          <w:kern w:val="0"/>
          <w:sz w:val="24"/>
          <w:szCs w:val="24"/>
        </w:rPr>
        <w:t>10</w:t>
      </w:r>
      <w:r>
        <w:rPr>
          <w:rFonts w:hint="eastAsia" w:ascii="宋体" w:hAnsi="宋体"/>
          <w:snapToGrid w:val="0"/>
          <w:kern w:val="0"/>
          <w:sz w:val="24"/>
          <w:szCs w:val="24"/>
        </w:rPr>
        <w:t>份（其中设计单位</w:t>
      </w:r>
      <w:r>
        <w:rPr>
          <w:rFonts w:ascii="宋体" w:hAnsi="宋体"/>
          <w:snapToGrid w:val="0"/>
          <w:kern w:val="0"/>
          <w:sz w:val="24"/>
          <w:szCs w:val="24"/>
        </w:rPr>
        <w:t>2</w:t>
      </w:r>
      <w:r>
        <w:rPr>
          <w:rFonts w:hint="eastAsia" w:ascii="宋体" w:hAnsi="宋体"/>
          <w:snapToGrid w:val="0"/>
          <w:kern w:val="0"/>
          <w:sz w:val="24"/>
          <w:szCs w:val="24"/>
        </w:rPr>
        <w:t>份）；</w:t>
      </w:r>
    </w:p>
    <w:p>
      <w:pPr>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2</w:t>
      </w:r>
      <w:r>
        <w:rPr>
          <w:rFonts w:hint="eastAsia" w:ascii="宋体" w:hAnsi="宋体"/>
          <w:snapToGrid w:val="0"/>
          <w:kern w:val="0"/>
          <w:sz w:val="24"/>
          <w:szCs w:val="24"/>
        </w:rPr>
        <w:t>）设备的产品合格证；</w:t>
      </w:r>
    </w:p>
    <w:p>
      <w:pPr>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3</w:t>
      </w:r>
      <w:r>
        <w:rPr>
          <w:rFonts w:hint="eastAsia" w:ascii="宋体" w:hAnsi="宋体"/>
          <w:snapToGrid w:val="0"/>
          <w:kern w:val="0"/>
          <w:sz w:val="24"/>
          <w:szCs w:val="24"/>
        </w:rPr>
        <w:t>）设备的出厂试验报告；</w:t>
      </w:r>
    </w:p>
    <w:p>
      <w:pPr>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4</w:t>
      </w:r>
      <w:r>
        <w:rPr>
          <w:rFonts w:hint="eastAsia" w:ascii="宋体" w:hAnsi="宋体"/>
          <w:snapToGrid w:val="0"/>
          <w:kern w:val="0"/>
          <w:sz w:val="24"/>
          <w:szCs w:val="24"/>
        </w:rPr>
        <w:t>）备品、备件一览表；</w:t>
      </w:r>
    </w:p>
    <w:p>
      <w:pPr>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5</w:t>
      </w:r>
      <w:r>
        <w:rPr>
          <w:rFonts w:hint="eastAsia" w:ascii="宋体" w:hAnsi="宋体"/>
          <w:snapToGrid w:val="0"/>
          <w:kern w:val="0"/>
          <w:sz w:val="24"/>
          <w:szCs w:val="24"/>
        </w:rPr>
        <w:t>）装箱清单。</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8</w:t>
      </w:r>
      <w:r>
        <w:rPr>
          <w:rFonts w:hint="eastAsia" w:ascii="宋体" w:hAnsi="宋体"/>
          <w:snapToGrid w:val="0"/>
          <w:kern w:val="0"/>
          <w:sz w:val="24"/>
          <w:szCs w:val="24"/>
        </w:rPr>
        <w:t>）投标人需提交的图纸资料</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投标人随投标文件提交附图图纸，并保证其清楚准确，以便买方对投标人的技术方案有充分的认识。在“招标附图”中列出了由买方提供的图纸，这些图纸仅用于示意合同设备的总体设想和布置，并非用来确定合同设备的设计。</w:t>
      </w:r>
    </w:p>
    <w:p>
      <w:pPr>
        <w:adjustRightInd w:val="0"/>
        <w:snapToGrid w:val="0"/>
        <w:spacing w:line="400" w:lineRule="exact"/>
        <w:ind w:firstLine="480" w:firstLineChars="200"/>
        <w:rPr>
          <w:rFonts w:ascii="宋体" w:hAnsi="宋体"/>
          <w:snapToGrid w:val="0"/>
          <w:kern w:val="0"/>
          <w:sz w:val="24"/>
          <w:szCs w:val="24"/>
        </w:rPr>
      </w:pPr>
      <w:bookmarkStart w:id="143" w:name="_Toc426295044"/>
      <w:bookmarkStart w:id="144" w:name="_Toc31791918"/>
      <w:r>
        <w:rPr>
          <w:rFonts w:ascii="宋体" w:hAnsi="宋体"/>
          <w:snapToGrid w:val="0"/>
          <w:kern w:val="0"/>
          <w:sz w:val="24"/>
          <w:szCs w:val="24"/>
        </w:rPr>
        <w:t>1.</w:t>
      </w:r>
      <w:r>
        <w:rPr>
          <w:rFonts w:hint="eastAsia" w:ascii="宋体" w:hAnsi="宋体"/>
          <w:snapToGrid w:val="0"/>
          <w:kern w:val="0"/>
          <w:sz w:val="24"/>
          <w:szCs w:val="24"/>
        </w:rPr>
        <w:t>8  工厂试验</w:t>
      </w:r>
      <w:bookmarkEnd w:id="143"/>
      <w:bookmarkEnd w:id="144"/>
    </w:p>
    <w:p>
      <w:pPr>
        <w:adjustRightInd w:val="0"/>
        <w:snapToGrid w:val="0"/>
        <w:spacing w:line="400" w:lineRule="exact"/>
        <w:ind w:firstLine="480" w:firstLineChars="200"/>
        <w:rPr>
          <w:rFonts w:ascii="宋体" w:hAnsi="宋体"/>
          <w:snapToGrid w:val="0"/>
          <w:kern w:val="0"/>
          <w:sz w:val="24"/>
          <w:szCs w:val="24"/>
        </w:rPr>
      </w:pPr>
      <w:bookmarkStart w:id="145" w:name="_Toc31791919"/>
      <w:r>
        <w:rPr>
          <w:rFonts w:hint="eastAsia" w:ascii="宋体" w:hAnsi="宋体"/>
          <w:snapToGrid w:val="0"/>
          <w:kern w:val="0"/>
          <w:sz w:val="24"/>
          <w:szCs w:val="24"/>
        </w:rPr>
        <w:t>1</w:t>
      </w:r>
      <w:r>
        <w:rPr>
          <w:rFonts w:ascii="宋体" w:hAnsi="宋体"/>
          <w:snapToGrid w:val="0"/>
          <w:kern w:val="0"/>
          <w:sz w:val="24"/>
          <w:szCs w:val="24"/>
        </w:rPr>
        <w:t>.</w:t>
      </w:r>
      <w:r>
        <w:rPr>
          <w:rFonts w:hint="eastAsia" w:ascii="宋体" w:hAnsi="宋体"/>
          <w:snapToGrid w:val="0"/>
          <w:kern w:val="0"/>
          <w:sz w:val="24"/>
          <w:szCs w:val="24"/>
        </w:rPr>
        <w:t>8</w:t>
      </w:r>
      <w:r>
        <w:rPr>
          <w:rFonts w:ascii="宋体" w:hAnsi="宋体"/>
          <w:snapToGrid w:val="0"/>
          <w:kern w:val="0"/>
          <w:sz w:val="24"/>
          <w:szCs w:val="24"/>
        </w:rPr>
        <w:t>.</w:t>
      </w:r>
      <w:r>
        <w:rPr>
          <w:rFonts w:hint="eastAsia" w:ascii="宋体" w:hAnsi="宋体"/>
          <w:snapToGrid w:val="0"/>
          <w:kern w:val="0"/>
          <w:sz w:val="24"/>
          <w:szCs w:val="24"/>
        </w:rPr>
        <w:t>1  概述</w:t>
      </w:r>
      <w:bookmarkEnd w:id="145"/>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（1）本合同范围内的设备均应进行型式试验和出厂试验，试验的设备应为买方所购的产品，若所供同型号设备最近5年内作过型式试验的可不再作型式试验，但应提供已作过的型式试验报告；</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（2）卖方应编写试验大纲，在工厂试验前一个月，将试验大纲提交买方。每项试验均应有试验报告；</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（3）工厂试验应有买方见证，除非买方书面说明放弃该见证；</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（4）买方对试验的认可，或者放弃参加检验和测试，均不减轻卖方对合同的责任；</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（5）买方有权拒绝接收有缺陷的产品或要求对其改造，由此引起的一切费用由卖方负责。经改造后的设备应重新进行测试；</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（6）所有测试、检验、检查及其结果和结论，都应详细记录并由卖方的有关当事人正式签字；</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（7）所有的试验和检验报告一式六份，寄送买方五份，寄送工程设计单位吉林省水利水电勘测设计研究院一份。</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报告至少应有以下内容：</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1）调试设备测试标准和使用仪器的简要说明；</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2）测试结果分析；</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3）测试结果与设备技术数据及相关规程允许误差的比较。</w:t>
      </w:r>
    </w:p>
    <w:p>
      <w:pPr>
        <w:adjustRightInd w:val="0"/>
        <w:snapToGrid w:val="0"/>
        <w:spacing w:line="400" w:lineRule="exact"/>
        <w:ind w:firstLine="480" w:firstLineChars="200"/>
        <w:rPr>
          <w:rFonts w:hint="eastAsia" w:ascii="宋体" w:hAnsi="宋体"/>
          <w:snapToGrid w:val="0"/>
          <w:kern w:val="0"/>
          <w:sz w:val="24"/>
          <w:szCs w:val="24"/>
        </w:rPr>
      </w:pPr>
      <w:bookmarkStart w:id="146" w:name="_Toc31791920"/>
      <w:r>
        <w:rPr>
          <w:rFonts w:hint="eastAsia" w:ascii="宋体" w:hAnsi="宋体"/>
          <w:snapToGrid w:val="0"/>
          <w:kern w:val="0"/>
          <w:sz w:val="24"/>
          <w:szCs w:val="24"/>
        </w:rPr>
        <w:t>1.8.2  工厂试验内容</w:t>
      </w:r>
      <w:bookmarkEnd w:id="146"/>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工厂试验应包括但不限于以下部分内容：</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（1）完成设备的工厂组装及试验；</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（2）提供现场试验必需的试验仪表和设备（试验完成后仍为卖方财产），并负责合同设备的现场试验、调试。</w:t>
      </w:r>
    </w:p>
    <w:p>
      <w:pPr>
        <w:adjustRightInd w:val="0"/>
        <w:snapToGrid w:val="0"/>
        <w:spacing w:line="400" w:lineRule="exact"/>
        <w:ind w:firstLine="480" w:firstLineChars="200"/>
        <w:rPr>
          <w:rFonts w:ascii="宋体" w:hAnsi="宋体"/>
          <w:snapToGrid w:val="0"/>
          <w:kern w:val="0"/>
          <w:sz w:val="24"/>
          <w:szCs w:val="24"/>
        </w:rPr>
      </w:pPr>
      <w:bookmarkStart w:id="147" w:name="_Toc426295045"/>
      <w:bookmarkStart w:id="148" w:name="_Toc31791921"/>
      <w:r>
        <w:rPr>
          <w:rFonts w:ascii="宋体" w:hAnsi="宋体"/>
          <w:snapToGrid w:val="0"/>
          <w:kern w:val="0"/>
          <w:sz w:val="24"/>
          <w:szCs w:val="24"/>
        </w:rPr>
        <w:t>1.</w:t>
      </w:r>
      <w:r>
        <w:rPr>
          <w:rFonts w:hint="eastAsia" w:ascii="宋体" w:hAnsi="宋体"/>
          <w:snapToGrid w:val="0"/>
          <w:kern w:val="0"/>
          <w:sz w:val="24"/>
          <w:szCs w:val="24"/>
        </w:rPr>
        <w:t>9  现场试验和验收</w:t>
      </w:r>
      <w:bookmarkEnd w:id="147"/>
      <w:bookmarkEnd w:id="148"/>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（1）设备到货后，卖方应和买方一起对设备进行现场开箱检查，设备和元器件严重损坏者，卖方应予更换，轻微损坏且性能指标经测试未改变者，卖方应给予修复，方可使用；</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2）当各视频监视设备安装完成后，卖方应对设备进行调试试验，以证明整个系统的性能达到本技术规范的要求。任何部件不能满足规范要求及制造厂的保证性能时，应由制造厂无偿地加以更换。完成所要求的测试所必需的全部试验设备由卖方提供；</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（3）卖方应提供一个验证系统是否达到规定要求的程序和试验大纲给买方复核。该程序和大纲应至少在计划试验时间的一个月前提供；</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（4）卖方应提供一个完整的现场验收试验报告，以表明整个系统完全符合规定的性能要求；</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（5）现场试验内容同出厂试验内容。</w:t>
      </w:r>
    </w:p>
    <w:p>
      <w:pPr>
        <w:adjustRightInd w:val="0"/>
        <w:snapToGrid w:val="0"/>
        <w:spacing w:line="400" w:lineRule="exact"/>
        <w:ind w:firstLine="480" w:firstLineChars="200"/>
        <w:rPr>
          <w:rFonts w:ascii="宋体" w:hAnsi="宋体"/>
          <w:snapToGrid w:val="0"/>
          <w:kern w:val="0"/>
          <w:sz w:val="24"/>
          <w:szCs w:val="24"/>
        </w:rPr>
      </w:pPr>
      <w:bookmarkStart w:id="149" w:name="_Toc370483646"/>
      <w:bookmarkStart w:id="150" w:name="_Toc370803469"/>
      <w:bookmarkStart w:id="151" w:name="_Toc370803655"/>
      <w:bookmarkStart w:id="152" w:name="_Toc426295046"/>
      <w:bookmarkStart w:id="153" w:name="_Toc31791922"/>
      <w:r>
        <w:rPr>
          <w:rFonts w:ascii="宋体" w:hAnsi="宋体"/>
          <w:snapToGrid w:val="0"/>
          <w:kern w:val="0"/>
          <w:sz w:val="24"/>
          <w:szCs w:val="24"/>
        </w:rPr>
        <w:t>1.</w:t>
      </w:r>
      <w:r>
        <w:rPr>
          <w:rFonts w:hint="eastAsia" w:ascii="宋体" w:hAnsi="宋体"/>
          <w:snapToGrid w:val="0"/>
          <w:kern w:val="0"/>
          <w:sz w:val="24"/>
          <w:szCs w:val="24"/>
        </w:rPr>
        <w:t>10  技术服务</w:t>
      </w:r>
      <w:bookmarkEnd w:id="149"/>
      <w:bookmarkEnd w:id="150"/>
      <w:bookmarkEnd w:id="151"/>
      <w:bookmarkEnd w:id="152"/>
      <w:bookmarkEnd w:id="153"/>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卖方应派遣有能力、有实践经验的人员到现场指导工作，并参加合同设备工地现场开箱交接、指导安装、参加安装阶段质量检查、现场试验、试运行、验收等服务。</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卖方技术人员的专业、数量、在工地停留时间，到达和离开工地的日期将根据实际工作进度由双方讨论决定。</w:t>
      </w:r>
      <w:bookmarkStart w:id="154" w:name="_Toc5957244"/>
    </w:p>
    <w:bookmarkEnd w:id="154"/>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卖方驻工地总代表应负责设备供货范围内总的技术指导，并与买方代表全力合作，解决电站、变电站与供货设备有关的技术问题和工作问题。</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卖方在现场的指导人员，应对设备的安装工艺、质量、设备试验和试运行负责监督；卖方技术人员要详细解释技术文件、图纸、运行事项、设备性能及买方提出的设备供货范围内的问题。</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为提高买方技术人员的水平，卖方技术人员将帮助买方现场培训其安装和设备维修人员。</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售后服务是指卖方维护的各项技术服务、零部件损坏的更换、重大部件的修复等。</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售后服务在质保期内应是免费的、及时的。质保期之外，视设备情况和责任承担，合理收费。</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本技术规范书未尽事宜，由买卖双方协商确定。</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卖方安装指导人员的往返费用、在工地现场的所有费用，包括在合同价中。</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买方将为卖方的现场服务人员的食宿和办公等提供方便，同时为现场服务人员工作提供配合</w:t>
      </w:r>
      <w:r>
        <w:rPr>
          <w:rFonts w:ascii="宋体" w:hAnsi="宋体"/>
          <w:snapToGrid w:val="0"/>
          <w:kern w:val="0"/>
          <w:sz w:val="24"/>
          <w:szCs w:val="24"/>
        </w:rPr>
        <w:t>,</w:t>
      </w:r>
      <w:r>
        <w:rPr>
          <w:rFonts w:hint="eastAsia" w:ascii="宋体" w:hAnsi="宋体"/>
          <w:snapToGrid w:val="0"/>
          <w:kern w:val="0"/>
          <w:sz w:val="24"/>
          <w:szCs w:val="24"/>
        </w:rPr>
        <w:t>费用由卖方承担。</w:t>
      </w:r>
    </w:p>
    <w:p>
      <w:pPr>
        <w:adjustRightInd w:val="0"/>
        <w:snapToGrid w:val="0"/>
        <w:spacing w:line="400" w:lineRule="exact"/>
        <w:ind w:firstLine="480" w:firstLineChars="200"/>
        <w:rPr>
          <w:rFonts w:ascii="宋体" w:hAnsi="宋体"/>
          <w:snapToGrid w:val="0"/>
          <w:kern w:val="0"/>
          <w:sz w:val="24"/>
          <w:szCs w:val="24"/>
        </w:rPr>
      </w:pPr>
      <w:bookmarkStart w:id="155" w:name="_Toc185654542"/>
      <w:bookmarkStart w:id="156" w:name="_Toc370803474"/>
      <w:bookmarkStart w:id="157" w:name="_Toc370803660"/>
      <w:bookmarkStart w:id="158" w:name="_Toc426295047"/>
      <w:bookmarkStart w:id="159" w:name="_Toc31791923"/>
      <w:r>
        <w:rPr>
          <w:rFonts w:ascii="宋体" w:hAnsi="宋体"/>
          <w:snapToGrid w:val="0"/>
          <w:kern w:val="0"/>
          <w:sz w:val="24"/>
          <w:szCs w:val="24"/>
        </w:rPr>
        <w:t>1.1</w:t>
      </w:r>
      <w:r>
        <w:rPr>
          <w:rFonts w:hint="eastAsia" w:ascii="宋体" w:hAnsi="宋体"/>
          <w:snapToGrid w:val="0"/>
          <w:kern w:val="0"/>
          <w:sz w:val="24"/>
          <w:szCs w:val="24"/>
        </w:rPr>
        <w:t>1  设计</w:t>
      </w:r>
      <w:bookmarkEnd w:id="155"/>
      <w:r>
        <w:rPr>
          <w:rFonts w:hint="eastAsia" w:ascii="宋体" w:hAnsi="宋体"/>
          <w:snapToGrid w:val="0"/>
          <w:kern w:val="0"/>
          <w:sz w:val="24"/>
          <w:szCs w:val="24"/>
        </w:rPr>
        <w:t>联络</w:t>
      </w:r>
      <w:bookmarkEnd w:id="156"/>
      <w:bookmarkEnd w:id="157"/>
      <w:r>
        <w:rPr>
          <w:rFonts w:hint="eastAsia" w:ascii="宋体" w:hAnsi="宋体"/>
          <w:snapToGrid w:val="0"/>
          <w:kern w:val="0"/>
          <w:sz w:val="24"/>
          <w:szCs w:val="24"/>
        </w:rPr>
        <w:t>会</w:t>
      </w:r>
      <w:bookmarkEnd w:id="158"/>
      <w:bookmarkEnd w:id="159"/>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1</w:t>
      </w:r>
      <w:r>
        <w:rPr>
          <w:rFonts w:hint="eastAsia" w:ascii="宋体" w:hAnsi="宋体"/>
          <w:snapToGrid w:val="0"/>
          <w:kern w:val="0"/>
          <w:sz w:val="24"/>
          <w:szCs w:val="24"/>
        </w:rPr>
        <w:t>）为协调设备设计、工程设计及其他方面的工作，保证本合同有效地、顺利进行，合同生效后</w:t>
      </w:r>
      <w:r>
        <w:rPr>
          <w:rFonts w:ascii="宋体" w:hAnsi="宋体"/>
          <w:snapToGrid w:val="0"/>
          <w:kern w:val="0"/>
          <w:sz w:val="24"/>
          <w:szCs w:val="24"/>
        </w:rPr>
        <w:t>30</w:t>
      </w:r>
      <w:r>
        <w:rPr>
          <w:rFonts w:hint="eastAsia" w:ascii="宋体" w:hAnsi="宋体"/>
          <w:snapToGrid w:val="0"/>
          <w:kern w:val="0"/>
          <w:sz w:val="24"/>
          <w:szCs w:val="24"/>
        </w:rPr>
        <w:t>天由买方主持召开第一次设计联络会并形成纪要。设计联络会在卖方所在地举行，会务由卖方负责。参加联络会的单位有买方、工程设计单位以及买方认为有必要邀请的单位。卖方应制定设计联络会的计划和日程并在设计联络会前</w:t>
      </w:r>
      <w:r>
        <w:rPr>
          <w:rFonts w:ascii="宋体" w:hAnsi="宋体"/>
          <w:snapToGrid w:val="0"/>
          <w:kern w:val="0"/>
          <w:sz w:val="24"/>
          <w:szCs w:val="24"/>
        </w:rPr>
        <w:t>10</w:t>
      </w:r>
      <w:r>
        <w:rPr>
          <w:rFonts w:hint="eastAsia" w:ascii="宋体" w:hAnsi="宋体"/>
          <w:snapToGrid w:val="0"/>
          <w:kern w:val="0"/>
          <w:sz w:val="24"/>
          <w:szCs w:val="24"/>
        </w:rPr>
        <w:t>天向买方提交</w:t>
      </w:r>
      <w:r>
        <w:rPr>
          <w:rFonts w:ascii="宋体" w:hAnsi="宋体"/>
          <w:snapToGrid w:val="0"/>
          <w:kern w:val="0"/>
          <w:sz w:val="24"/>
          <w:szCs w:val="24"/>
        </w:rPr>
        <w:t>3</w:t>
      </w:r>
      <w:r>
        <w:rPr>
          <w:rFonts w:hint="eastAsia" w:ascii="宋体" w:hAnsi="宋体"/>
          <w:snapToGrid w:val="0"/>
          <w:kern w:val="0"/>
          <w:sz w:val="24"/>
          <w:szCs w:val="24"/>
        </w:rPr>
        <w:t>份卖方建议的技术联络会议的计划和进度表（其中</w:t>
      </w:r>
      <w:r>
        <w:rPr>
          <w:rFonts w:ascii="宋体" w:hAnsi="宋体"/>
          <w:snapToGrid w:val="0"/>
          <w:kern w:val="0"/>
          <w:sz w:val="24"/>
          <w:szCs w:val="24"/>
        </w:rPr>
        <w:t>1</w:t>
      </w:r>
      <w:r>
        <w:rPr>
          <w:rFonts w:hint="eastAsia" w:ascii="宋体" w:hAnsi="宋体"/>
          <w:snapToGrid w:val="0"/>
          <w:kern w:val="0"/>
          <w:sz w:val="24"/>
          <w:szCs w:val="24"/>
        </w:rPr>
        <w:t>份给设计人）。并在以书面形式向买方发出正式邀请。买方参加设计联络会的人员</w:t>
      </w:r>
      <w:r>
        <w:rPr>
          <w:rFonts w:ascii="宋体" w:hAnsi="宋体"/>
          <w:snapToGrid w:val="0"/>
          <w:kern w:val="0"/>
          <w:sz w:val="24"/>
          <w:szCs w:val="24"/>
        </w:rPr>
        <w:t>8</w:t>
      </w:r>
      <w:r>
        <w:rPr>
          <w:rFonts w:hint="eastAsia" w:ascii="宋体" w:hAnsi="宋体"/>
          <w:snapToGrid w:val="0"/>
          <w:kern w:val="0"/>
          <w:sz w:val="24"/>
          <w:szCs w:val="24"/>
        </w:rPr>
        <w:t>人（设计方3人），会议期限为</w:t>
      </w:r>
      <w:r>
        <w:rPr>
          <w:rFonts w:ascii="宋体" w:hAnsi="宋体"/>
          <w:snapToGrid w:val="0"/>
          <w:kern w:val="0"/>
          <w:sz w:val="24"/>
          <w:szCs w:val="24"/>
        </w:rPr>
        <w:t>3</w:t>
      </w:r>
      <w:r>
        <w:rPr>
          <w:rFonts w:hint="eastAsia" w:ascii="宋体" w:hAnsi="宋体"/>
          <w:snapToGrid w:val="0"/>
          <w:kern w:val="0"/>
          <w:sz w:val="24"/>
          <w:szCs w:val="24"/>
        </w:rPr>
        <w:t>天。会议应签署会议纪要，并作为合同文件的组成部分，双方均应遵守。卖方负责会议记录和会议纪要的起草。设计审查通过后，合同设备才能投入生产。</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2</w:t>
      </w:r>
      <w:r>
        <w:rPr>
          <w:rFonts w:hint="eastAsia" w:ascii="宋体" w:hAnsi="宋体"/>
          <w:snapToGrid w:val="0"/>
          <w:kern w:val="0"/>
          <w:sz w:val="24"/>
          <w:szCs w:val="24"/>
        </w:rPr>
        <w:t>）根据制造进度情况，买方将书面通知卖方、与之连接或相关的设备生产厂家，由买方主持召开第二次设计联络会。参加联络会的单位有买方、工程设计单位以及买方认为有必要邀请的单位。会议应签署会议纪要并作为合同文件的组成部分，双方均应遵守。买方负责会议记录和会议纪要的起草，会议地点在卖方，会务由卖方负责。买方参加设计联络会的人员</w:t>
      </w:r>
      <w:r>
        <w:rPr>
          <w:rFonts w:ascii="宋体" w:hAnsi="宋体"/>
          <w:snapToGrid w:val="0"/>
          <w:kern w:val="0"/>
          <w:sz w:val="24"/>
          <w:szCs w:val="24"/>
        </w:rPr>
        <w:t>8</w:t>
      </w:r>
      <w:r>
        <w:rPr>
          <w:rFonts w:hint="eastAsia" w:ascii="宋体" w:hAnsi="宋体"/>
          <w:snapToGrid w:val="0"/>
          <w:kern w:val="0"/>
          <w:sz w:val="24"/>
          <w:szCs w:val="24"/>
        </w:rPr>
        <w:t>人（设计方3人），会议期限为</w:t>
      </w:r>
      <w:r>
        <w:rPr>
          <w:rFonts w:ascii="宋体" w:hAnsi="宋体"/>
          <w:snapToGrid w:val="0"/>
          <w:kern w:val="0"/>
          <w:sz w:val="24"/>
          <w:szCs w:val="24"/>
        </w:rPr>
        <w:t>3</w:t>
      </w:r>
      <w:r>
        <w:rPr>
          <w:rFonts w:hint="eastAsia" w:ascii="宋体" w:hAnsi="宋体"/>
          <w:snapToGrid w:val="0"/>
          <w:kern w:val="0"/>
          <w:sz w:val="24"/>
          <w:szCs w:val="24"/>
        </w:rPr>
        <w:t>天。</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cs="宋体"/>
          <w:snapToGrid w:val="0"/>
          <w:kern w:val="0"/>
          <w:sz w:val="24"/>
          <w:szCs w:val="24"/>
          <w:lang w:val="zh-CN"/>
        </w:rPr>
        <w:t>（</w:t>
      </w:r>
      <w:r>
        <w:rPr>
          <w:rFonts w:ascii="宋体" w:hAnsi="宋体" w:cs="宋体"/>
          <w:snapToGrid w:val="0"/>
          <w:kern w:val="0"/>
          <w:sz w:val="24"/>
          <w:szCs w:val="24"/>
          <w:lang w:val="zh-CN"/>
        </w:rPr>
        <w:t>3</w:t>
      </w:r>
      <w:r>
        <w:rPr>
          <w:rFonts w:hint="eastAsia" w:ascii="宋体" w:hAnsi="宋体" w:cs="宋体"/>
          <w:snapToGrid w:val="0"/>
          <w:kern w:val="0"/>
          <w:sz w:val="24"/>
          <w:szCs w:val="24"/>
          <w:lang w:val="zh-CN"/>
        </w:rPr>
        <w:t>）卖方应为买方人员参加联络会、工厂检验及培训提供必要的生活和工作条件，其费用（在卖方所在地的交通费、住宿费和生活费）包括在投标总价中，并在报价表中单独报价。卖方发生的其他费用应包括在总报价中。买方的往返机票费用由买方自理。</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4</w:t>
      </w:r>
      <w:r>
        <w:rPr>
          <w:rFonts w:hint="eastAsia" w:ascii="宋体" w:hAnsi="宋体"/>
          <w:snapToGrid w:val="0"/>
          <w:kern w:val="0"/>
          <w:sz w:val="24"/>
          <w:szCs w:val="24"/>
        </w:rPr>
        <w:t>）在合同有效期内，买方提出的设计修改</w:t>
      </w:r>
      <w:bookmarkStart w:id="160" w:name="_Toc185654543"/>
      <w:bookmarkStart w:id="161" w:name="_Toc258918989"/>
      <w:r>
        <w:rPr>
          <w:rFonts w:hint="eastAsia" w:ascii="宋体" w:hAnsi="宋体"/>
          <w:snapToGrid w:val="0"/>
          <w:kern w:val="0"/>
          <w:sz w:val="24"/>
          <w:szCs w:val="24"/>
        </w:rPr>
        <w:t>，卖方不应拒绝。</w:t>
      </w:r>
    </w:p>
    <w:p>
      <w:pPr>
        <w:adjustRightInd w:val="0"/>
        <w:snapToGrid w:val="0"/>
        <w:spacing w:line="400" w:lineRule="exact"/>
        <w:ind w:firstLine="480" w:firstLineChars="200"/>
        <w:rPr>
          <w:rFonts w:ascii="宋体" w:hAnsi="宋体"/>
          <w:snapToGrid w:val="0"/>
          <w:kern w:val="0"/>
          <w:sz w:val="24"/>
          <w:szCs w:val="24"/>
        </w:rPr>
      </w:pPr>
      <w:bookmarkStart w:id="162" w:name="_Toc370483647"/>
      <w:bookmarkStart w:id="163" w:name="_Toc370803475"/>
      <w:bookmarkStart w:id="164" w:name="_Toc370803661"/>
      <w:bookmarkStart w:id="165" w:name="_Toc426295048"/>
      <w:bookmarkStart w:id="166" w:name="_Toc31791924"/>
      <w:r>
        <w:rPr>
          <w:rFonts w:ascii="宋体" w:hAnsi="宋体"/>
          <w:snapToGrid w:val="0"/>
          <w:kern w:val="0"/>
          <w:sz w:val="24"/>
          <w:szCs w:val="24"/>
        </w:rPr>
        <w:t>1.</w:t>
      </w:r>
      <w:bookmarkEnd w:id="160"/>
      <w:bookmarkEnd w:id="161"/>
      <w:r>
        <w:rPr>
          <w:rFonts w:ascii="宋体" w:hAnsi="宋体"/>
          <w:snapToGrid w:val="0"/>
          <w:kern w:val="0"/>
          <w:sz w:val="24"/>
          <w:szCs w:val="24"/>
        </w:rPr>
        <w:t>1</w:t>
      </w:r>
      <w:r>
        <w:rPr>
          <w:rFonts w:hint="eastAsia" w:ascii="宋体" w:hAnsi="宋体"/>
          <w:snapToGrid w:val="0"/>
          <w:kern w:val="0"/>
          <w:sz w:val="24"/>
          <w:szCs w:val="24"/>
        </w:rPr>
        <w:t>2  协调</w:t>
      </w:r>
      <w:bookmarkEnd w:id="162"/>
      <w:bookmarkEnd w:id="163"/>
      <w:bookmarkEnd w:id="164"/>
      <w:bookmarkEnd w:id="165"/>
      <w:bookmarkEnd w:id="166"/>
    </w:p>
    <w:p>
      <w:pPr>
        <w:adjustRightInd w:val="0"/>
        <w:snapToGrid w:val="0"/>
        <w:spacing w:line="400" w:lineRule="exact"/>
        <w:ind w:firstLine="480" w:firstLineChars="200"/>
        <w:rPr>
          <w:rFonts w:ascii="宋体" w:hAnsi="宋体" w:cs="宋体"/>
          <w:snapToGrid w:val="0"/>
          <w:kern w:val="0"/>
          <w:sz w:val="24"/>
          <w:szCs w:val="24"/>
          <w:lang w:val="zh-CN"/>
        </w:rPr>
      </w:pPr>
      <w:r>
        <w:rPr>
          <w:rFonts w:hint="eastAsia" w:ascii="宋体" w:hAnsi="宋体" w:cs="宋体"/>
          <w:snapToGrid w:val="0"/>
          <w:kern w:val="0"/>
          <w:sz w:val="24"/>
          <w:szCs w:val="24"/>
          <w:lang w:val="zh-CN"/>
        </w:rPr>
        <w:t>（1）卖方应对规定的由卖方设计的全部合同设备的协调和完善承担全部责任。应保证设备在规定的运行情况下正常运行。</w:t>
      </w:r>
    </w:p>
    <w:p>
      <w:pPr>
        <w:adjustRightInd w:val="0"/>
        <w:snapToGrid w:val="0"/>
        <w:spacing w:line="400" w:lineRule="exact"/>
        <w:ind w:firstLine="480" w:firstLineChars="200"/>
        <w:rPr>
          <w:rFonts w:ascii="宋体" w:hAnsi="宋体" w:cs="宋体"/>
          <w:snapToGrid w:val="0"/>
          <w:kern w:val="0"/>
          <w:sz w:val="24"/>
          <w:szCs w:val="24"/>
          <w:lang w:val="zh-CN"/>
        </w:rPr>
      </w:pPr>
      <w:r>
        <w:rPr>
          <w:rFonts w:hint="eastAsia" w:ascii="宋体" w:hAnsi="宋体" w:cs="宋体"/>
          <w:snapToGrid w:val="0"/>
          <w:kern w:val="0"/>
          <w:sz w:val="24"/>
          <w:szCs w:val="24"/>
          <w:lang w:val="zh-CN"/>
        </w:rPr>
        <w:t>（2）卖方负责与本合同之外的其他承包商就图纸、连接方式及必须的资料进行协调，以保证正确地完成与全部合同设备有关部件的设计、制造、调试、试运行、验收及投入商业运行工作。卖方若作为与其它设备协调工作的主协调方，应积极组织与其它制造商进行协调，并承担全部协调责任；卖方若作为非主协调方，应主动配合主协调方的协调工作，并对自己的承诺负责。并参加有关设计联络会。</w:t>
      </w:r>
    </w:p>
    <w:p>
      <w:pPr>
        <w:adjustRightInd w:val="0"/>
        <w:snapToGrid w:val="0"/>
        <w:spacing w:line="400" w:lineRule="exact"/>
        <w:ind w:firstLine="480" w:firstLineChars="200"/>
        <w:rPr>
          <w:rFonts w:ascii="宋体" w:hAnsi="宋体" w:cs="宋体"/>
          <w:snapToGrid w:val="0"/>
          <w:kern w:val="0"/>
          <w:sz w:val="24"/>
          <w:szCs w:val="24"/>
          <w:lang w:val="zh-CN"/>
        </w:rPr>
      </w:pPr>
      <w:r>
        <w:rPr>
          <w:rFonts w:hint="eastAsia" w:ascii="宋体" w:hAnsi="宋体" w:cs="宋体"/>
          <w:snapToGrid w:val="0"/>
          <w:kern w:val="0"/>
          <w:sz w:val="24"/>
          <w:szCs w:val="24"/>
          <w:lang w:val="zh-CN"/>
        </w:rPr>
        <w:t>（3）除非本文件另有规定，为了使卖方所提供的设备和其他承包商所提供的设备互相适应，应允许较小修改，不得要求额外的费用。所有承包商之间的有关上述调整，对买方均不增加任何费用。卖方应向买方提供</w:t>
      </w:r>
      <w:r>
        <w:rPr>
          <w:rFonts w:ascii="宋体" w:hAnsi="宋体" w:cs="宋体"/>
          <w:snapToGrid w:val="0"/>
          <w:kern w:val="0"/>
          <w:sz w:val="24"/>
          <w:szCs w:val="24"/>
          <w:lang w:val="zh-CN"/>
        </w:rPr>
        <w:t>5</w:t>
      </w:r>
      <w:r>
        <w:rPr>
          <w:rFonts w:hint="eastAsia" w:ascii="宋体" w:hAnsi="宋体" w:cs="宋体"/>
          <w:snapToGrid w:val="0"/>
          <w:kern w:val="0"/>
          <w:sz w:val="24"/>
          <w:szCs w:val="24"/>
          <w:lang w:val="zh-CN"/>
        </w:rPr>
        <w:t>份与其他承包商接口部位经协调达成一致意见的所有图纸、资料和规范的副本，其中</w:t>
      </w:r>
      <w:r>
        <w:rPr>
          <w:rFonts w:ascii="宋体" w:hAnsi="宋体" w:cs="宋体"/>
          <w:snapToGrid w:val="0"/>
          <w:kern w:val="0"/>
          <w:sz w:val="24"/>
          <w:szCs w:val="24"/>
          <w:lang w:val="zh-CN"/>
        </w:rPr>
        <w:t>1</w:t>
      </w:r>
      <w:r>
        <w:rPr>
          <w:rFonts w:hint="eastAsia" w:ascii="宋体" w:hAnsi="宋体" w:cs="宋体"/>
          <w:snapToGrid w:val="0"/>
          <w:kern w:val="0"/>
          <w:sz w:val="24"/>
          <w:szCs w:val="24"/>
          <w:lang w:val="zh-CN"/>
        </w:rPr>
        <w:t>份给设计院。</w:t>
      </w:r>
    </w:p>
    <w:p>
      <w:pPr>
        <w:adjustRightInd w:val="0"/>
        <w:snapToGrid w:val="0"/>
        <w:spacing w:line="400" w:lineRule="exact"/>
        <w:ind w:firstLine="480" w:firstLineChars="200"/>
        <w:rPr>
          <w:rFonts w:ascii="宋体" w:hAnsi="宋体" w:cs="宋体"/>
          <w:snapToGrid w:val="0"/>
          <w:kern w:val="0"/>
          <w:sz w:val="24"/>
          <w:szCs w:val="24"/>
          <w:lang w:val="zh-CN"/>
        </w:rPr>
      </w:pPr>
      <w:r>
        <w:rPr>
          <w:rFonts w:hint="eastAsia" w:ascii="宋体" w:hAnsi="宋体" w:cs="宋体"/>
          <w:snapToGrid w:val="0"/>
          <w:kern w:val="0"/>
          <w:sz w:val="24"/>
          <w:szCs w:val="24"/>
          <w:lang w:val="zh-CN"/>
        </w:rPr>
        <w:t>（4）若卖方对其他合同承包商的设计、技术规范书或供货不满意或有疑问时，应立即向买方作书面说明。由买方安排协调和处理，所发生的费用包括在合同总价中。</w:t>
      </w:r>
      <w:bookmarkStart w:id="167" w:name="_Toc258918990"/>
    </w:p>
    <w:bookmarkEnd w:id="167"/>
    <w:p>
      <w:pPr>
        <w:bidi w:val="0"/>
        <w:rPr>
          <w:rFonts w:hint="eastAsia" w:ascii="宋体" w:hAnsi="宋体" w:eastAsia="宋体" w:cs="宋体"/>
          <w:b/>
          <w:bCs/>
          <w:sz w:val="24"/>
          <w:szCs w:val="24"/>
        </w:rPr>
      </w:pPr>
      <w:bookmarkStart w:id="168" w:name="_Toc426295049"/>
      <w:bookmarkStart w:id="169" w:name="_Toc31791925"/>
      <w:r>
        <w:rPr>
          <w:rFonts w:hint="eastAsia" w:ascii="宋体" w:hAnsi="宋体" w:eastAsia="宋体" w:cs="宋体"/>
          <w:b/>
          <w:bCs/>
          <w:sz w:val="24"/>
          <w:szCs w:val="24"/>
        </w:rPr>
        <w:t>2  视频系统专用技术规范</w:t>
      </w:r>
      <w:bookmarkEnd w:id="168"/>
      <w:bookmarkEnd w:id="169"/>
    </w:p>
    <w:p>
      <w:pPr>
        <w:adjustRightInd w:val="0"/>
        <w:snapToGrid w:val="0"/>
        <w:spacing w:line="400" w:lineRule="exact"/>
        <w:ind w:firstLine="480" w:firstLineChars="200"/>
        <w:rPr>
          <w:rFonts w:ascii="宋体" w:hAnsi="宋体"/>
          <w:snapToGrid w:val="0"/>
          <w:kern w:val="0"/>
          <w:sz w:val="24"/>
          <w:szCs w:val="24"/>
        </w:rPr>
      </w:pPr>
      <w:bookmarkStart w:id="170" w:name="_Toc308245173"/>
      <w:bookmarkStart w:id="171" w:name="_Toc426295050"/>
      <w:bookmarkStart w:id="172" w:name="_Toc31791926"/>
      <w:bookmarkStart w:id="173" w:name="_Toc370483656"/>
      <w:bookmarkStart w:id="174" w:name="_Toc370803508"/>
      <w:bookmarkStart w:id="175" w:name="_Toc370803694"/>
      <w:bookmarkStart w:id="176" w:name="_Toc370803824"/>
      <w:r>
        <w:rPr>
          <w:rFonts w:hint="eastAsia" w:ascii="宋体" w:hAnsi="宋体"/>
          <w:snapToGrid w:val="0"/>
          <w:kern w:val="0"/>
          <w:sz w:val="24"/>
          <w:szCs w:val="24"/>
        </w:rPr>
        <w:t>2.1</w:t>
      </w:r>
      <w:bookmarkEnd w:id="170"/>
      <w:r>
        <w:rPr>
          <w:rFonts w:hint="eastAsia" w:ascii="宋体" w:hAnsi="宋体"/>
          <w:snapToGrid w:val="0"/>
          <w:kern w:val="0"/>
          <w:sz w:val="24"/>
          <w:szCs w:val="24"/>
        </w:rPr>
        <w:t xml:space="preserve">  视频监视系统</w:t>
      </w:r>
      <w:bookmarkEnd w:id="171"/>
      <w:bookmarkEnd w:id="172"/>
    </w:p>
    <w:p>
      <w:pPr>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视频监视系统主要</w:t>
      </w:r>
      <w:r>
        <w:rPr>
          <w:rFonts w:hint="eastAsia" w:ascii="宋体" w:hAnsi="宋体"/>
          <w:snapToGrid w:val="0"/>
          <w:kern w:val="0"/>
          <w:sz w:val="24"/>
          <w:szCs w:val="24"/>
        </w:rPr>
        <w:t>由</w:t>
      </w:r>
      <w:r>
        <w:rPr>
          <w:rFonts w:ascii="宋体" w:hAnsi="宋体"/>
          <w:snapToGrid w:val="0"/>
          <w:kern w:val="0"/>
          <w:sz w:val="24"/>
          <w:szCs w:val="24"/>
        </w:rPr>
        <w:t>控制中心的视频监控主机</w:t>
      </w:r>
      <w:r>
        <w:rPr>
          <w:rFonts w:hint="eastAsia" w:ascii="宋体" w:hAnsi="宋体"/>
          <w:snapToGrid w:val="0"/>
          <w:kern w:val="0"/>
          <w:sz w:val="24"/>
          <w:szCs w:val="24"/>
        </w:rPr>
        <w:t>、</w:t>
      </w:r>
      <w:r>
        <w:rPr>
          <w:rFonts w:ascii="宋体" w:hAnsi="宋体"/>
          <w:snapToGrid w:val="0"/>
          <w:kern w:val="0"/>
          <w:sz w:val="24"/>
          <w:szCs w:val="24"/>
        </w:rPr>
        <w:t>网络视频存储管理系统、交换机和各种类型</w:t>
      </w:r>
      <w:r>
        <w:rPr>
          <w:rFonts w:hint="eastAsia" w:ascii="宋体" w:hAnsi="宋体"/>
          <w:snapToGrid w:val="0"/>
          <w:kern w:val="0"/>
          <w:sz w:val="24"/>
          <w:szCs w:val="24"/>
        </w:rPr>
        <w:t>网络</w:t>
      </w:r>
      <w:r>
        <w:rPr>
          <w:rFonts w:ascii="宋体" w:hAnsi="宋体"/>
          <w:snapToGrid w:val="0"/>
          <w:kern w:val="0"/>
          <w:sz w:val="24"/>
          <w:szCs w:val="24"/>
        </w:rPr>
        <w:t>的摄像机组成。现地视频信号经光纤网络传输至</w:t>
      </w:r>
      <w:r>
        <w:rPr>
          <w:rFonts w:hint="eastAsia" w:ascii="宋体" w:hAnsi="宋体"/>
          <w:snapToGrid w:val="0"/>
          <w:kern w:val="0"/>
          <w:sz w:val="24"/>
          <w:szCs w:val="24"/>
        </w:rPr>
        <w:t>控制中心</w:t>
      </w:r>
      <w:r>
        <w:rPr>
          <w:rFonts w:ascii="宋体" w:hAnsi="宋体"/>
          <w:snapToGrid w:val="0"/>
          <w:kern w:val="0"/>
          <w:sz w:val="24"/>
          <w:szCs w:val="24"/>
        </w:rPr>
        <w:t>的网络视频存储管理系统，同时现地视频信号可由控制中心的视频监控主机实现视频的远程监视与控制。</w:t>
      </w:r>
      <w:r>
        <w:rPr>
          <w:rFonts w:hint="eastAsia" w:ascii="宋体" w:hAnsi="宋体"/>
          <w:snapToGrid w:val="0"/>
          <w:kern w:val="0"/>
          <w:sz w:val="24"/>
          <w:szCs w:val="24"/>
        </w:rPr>
        <w:t>上下游等级站内</w:t>
      </w:r>
      <w:r>
        <w:rPr>
          <w:rFonts w:ascii="宋体" w:hAnsi="宋体"/>
          <w:snapToGrid w:val="0"/>
          <w:kern w:val="0"/>
          <w:sz w:val="24"/>
          <w:szCs w:val="24"/>
        </w:rPr>
        <w:t>设有视频客户端，可随时查看、访问存储于网络视频存储管理系统内的视频信息。要求视频监视系统实时性好，抗干扰能力强。人机接口功能强，操作方便，全汉化界面。系统主要硬件设备采用国内外名优品牌产品，并有广泛应用的实绩</w:t>
      </w:r>
      <w:r>
        <w:rPr>
          <w:rFonts w:hint="eastAsia" w:ascii="宋体" w:hAnsi="宋体"/>
          <w:snapToGrid w:val="0"/>
          <w:kern w:val="0"/>
          <w:sz w:val="24"/>
          <w:szCs w:val="24"/>
        </w:rPr>
        <w:t>，</w:t>
      </w:r>
      <w:r>
        <w:rPr>
          <w:rFonts w:ascii="宋体" w:hAnsi="宋体"/>
          <w:snapToGrid w:val="0"/>
          <w:kern w:val="0"/>
          <w:sz w:val="24"/>
          <w:szCs w:val="24"/>
        </w:rPr>
        <w:t>产品的性能指标要求详见 “系统主要设备配置”。本系统设备主要包括：</w:t>
      </w:r>
    </w:p>
    <w:p>
      <w:pPr>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 xml:space="preserve">1、视频监控主机 </w:t>
      </w:r>
    </w:p>
    <w:p>
      <w:pPr>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视频监控主机布置于控制中心控制室内，安装有网络视频监控软件，可实时访问视频系统内任何一台网络摄像机，视频信号分画面显示于视频监视主机上，同时也可反向传输控制信号，实现球型摄像机的各种控制操作</w:t>
      </w:r>
      <w:r>
        <w:rPr>
          <w:rFonts w:hint="eastAsia" w:ascii="宋体" w:hAnsi="宋体"/>
          <w:snapToGrid w:val="0"/>
          <w:kern w:val="0"/>
          <w:sz w:val="24"/>
          <w:szCs w:val="24"/>
        </w:rPr>
        <w:t>；可实现多监视器同时输出，方便监视器上电子墙和视频预览；网络视频录像服务器应具有手动录像、自动录像和报警预录像、录像检索和回放、电子地图和虚拟键盘等功能。</w:t>
      </w:r>
    </w:p>
    <w:p>
      <w:pPr>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2、网络视频存储管理系统</w:t>
      </w:r>
    </w:p>
    <w:p>
      <w:pPr>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（1）网络视频存储管理系统</w:t>
      </w:r>
      <w:r>
        <w:rPr>
          <w:rFonts w:hint="eastAsia" w:ascii="宋体" w:hAnsi="宋体"/>
          <w:snapToGrid w:val="0"/>
          <w:kern w:val="0"/>
          <w:sz w:val="24"/>
          <w:szCs w:val="24"/>
        </w:rPr>
        <w:t>布置于控制中心设备间内，采用网络硬盘录像机，</w:t>
      </w:r>
      <w:r>
        <w:rPr>
          <w:rFonts w:ascii="宋体" w:hAnsi="宋体"/>
          <w:snapToGrid w:val="0"/>
          <w:kern w:val="0"/>
          <w:sz w:val="24"/>
          <w:szCs w:val="24"/>
        </w:rPr>
        <w:t>接收现地的摄像机图像信号，</w:t>
      </w:r>
      <w:r>
        <w:rPr>
          <w:rFonts w:hint="eastAsia" w:ascii="宋体" w:hAnsi="宋体"/>
          <w:snapToGrid w:val="0"/>
          <w:kern w:val="0"/>
          <w:sz w:val="24"/>
          <w:szCs w:val="24"/>
        </w:rPr>
        <w:t>并</w:t>
      </w:r>
      <w:r>
        <w:rPr>
          <w:rFonts w:ascii="宋体" w:hAnsi="宋体"/>
          <w:snapToGrid w:val="0"/>
          <w:kern w:val="0"/>
          <w:sz w:val="24"/>
          <w:szCs w:val="24"/>
        </w:rPr>
        <w:t>进行现地录像，并经压缩编码处理成标准数据格式保存。</w:t>
      </w:r>
      <w:r>
        <w:rPr>
          <w:rFonts w:hint="eastAsia" w:ascii="宋体" w:hAnsi="宋体"/>
          <w:snapToGrid w:val="0"/>
          <w:kern w:val="0"/>
          <w:sz w:val="24"/>
          <w:szCs w:val="24"/>
        </w:rPr>
        <w:t>同时通过视频客户端实现多路视频的同时输出，实现录像检索和回放，电子地图和虚拟键盘等功能。集存储、控制、流媒体分发于一体，软件系统可采</w:t>
      </w:r>
      <w:r>
        <w:rPr>
          <w:rFonts w:ascii="宋体" w:hAnsi="宋体"/>
          <w:snapToGrid w:val="0"/>
          <w:kern w:val="0"/>
          <w:sz w:val="24"/>
          <w:szCs w:val="24"/>
        </w:rPr>
        <w:t>用嵌入式Linux操作系统平台。</w:t>
      </w:r>
      <w:r>
        <w:rPr>
          <w:rFonts w:hint="eastAsia" w:ascii="宋体" w:hAnsi="宋体"/>
          <w:snapToGrid w:val="0"/>
          <w:kern w:val="0"/>
          <w:sz w:val="24"/>
          <w:szCs w:val="24"/>
        </w:rPr>
        <w:t xml:space="preserve"> </w:t>
      </w:r>
    </w:p>
    <w:p>
      <w:pPr>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（2）根据摄像机布置</w:t>
      </w:r>
      <w:r>
        <w:rPr>
          <w:rFonts w:hint="eastAsia" w:ascii="宋体" w:hAnsi="宋体"/>
          <w:snapToGrid w:val="0"/>
          <w:kern w:val="0"/>
          <w:sz w:val="24"/>
          <w:szCs w:val="24"/>
        </w:rPr>
        <w:t>位置和</w:t>
      </w:r>
      <w:r>
        <w:rPr>
          <w:rFonts w:ascii="宋体" w:hAnsi="宋体"/>
          <w:snapToGrid w:val="0"/>
          <w:kern w:val="0"/>
          <w:sz w:val="24"/>
          <w:szCs w:val="24"/>
        </w:rPr>
        <w:t>数量，考虑</w:t>
      </w:r>
      <w:r>
        <w:rPr>
          <w:rFonts w:hint="eastAsia" w:ascii="宋体" w:hAnsi="宋体"/>
          <w:snapToGrid w:val="0"/>
          <w:kern w:val="0"/>
          <w:sz w:val="24"/>
          <w:szCs w:val="24"/>
        </w:rPr>
        <w:t>在闸门控制中心设千兆交换机，控制中心设网络硬盘录像机。</w:t>
      </w:r>
    </w:p>
    <w:p>
      <w:pPr>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3、网络视频监视摄像机</w:t>
      </w:r>
    </w:p>
    <w:p>
      <w:pPr>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 xml:space="preserve">（1）摄像机将现场设备工作的图像上传到网络视频存储管理系统，并可接受现地操作控制键盘的控制指令，进行调焦、转动云台等操作。同时通过网络能实现视频图像的远传与控制。 </w:t>
      </w:r>
    </w:p>
    <w:p>
      <w:pPr>
        <w:adjustRightInd w:val="0"/>
        <w:snapToGrid w:val="0"/>
        <w:spacing w:line="400" w:lineRule="exact"/>
        <w:ind w:firstLine="480" w:firstLineChars="200"/>
        <w:rPr>
          <w:rFonts w:ascii="宋体" w:hAnsi="宋体"/>
          <w:snapToGrid w:val="0"/>
          <w:kern w:val="0"/>
          <w:sz w:val="24"/>
          <w:szCs w:val="24"/>
        </w:rPr>
      </w:pPr>
      <w:r>
        <w:rPr>
          <w:rFonts w:ascii="宋体" w:hAnsi="宋体"/>
          <w:snapToGrid w:val="0"/>
          <w:kern w:val="0"/>
          <w:sz w:val="24"/>
          <w:szCs w:val="24"/>
        </w:rPr>
        <w:t>（2）室外球型摄像机安装于专用立杆上。专用立杆要求采用不锈钢制作，立杆高度不小于4米，须考虑防雷装置。室内摄像机安装在指定位置上。</w:t>
      </w:r>
    </w:p>
    <w:p>
      <w:pPr>
        <w:pStyle w:val="99"/>
        <w:snapToGrid w:val="0"/>
        <w:spacing w:line="400" w:lineRule="exact"/>
        <w:ind w:firstLine="480" w:firstLineChars="200"/>
        <w:jc w:val="both"/>
        <w:rPr>
          <w:rFonts w:ascii="宋体" w:hAnsi="宋体" w:eastAsia="宋体"/>
          <w:snapToGrid w:val="0"/>
          <w:sz w:val="24"/>
          <w:szCs w:val="24"/>
        </w:rPr>
      </w:pPr>
      <w:r>
        <w:rPr>
          <w:rFonts w:ascii="宋体" w:hAnsi="宋体" w:eastAsia="宋体"/>
          <w:snapToGrid w:val="0"/>
          <w:sz w:val="24"/>
          <w:szCs w:val="24"/>
        </w:rPr>
        <w:t>（3）所有摄像机均需配置必要的安装支架。</w:t>
      </w:r>
    </w:p>
    <w:p>
      <w:pPr>
        <w:adjustRightInd w:val="0"/>
        <w:snapToGrid w:val="0"/>
        <w:spacing w:line="400" w:lineRule="exact"/>
        <w:ind w:firstLine="480" w:firstLineChars="200"/>
        <w:rPr>
          <w:rFonts w:hint="eastAsia" w:ascii="宋体" w:hAnsi="宋体"/>
          <w:snapToGrid w:val="0"/>
          <w:kern w:val="0"/>
          <w:sz w:val="24"/>
          <w:szCs w:val="24"/>
        </w:rPr>
      </w:pPr>
      <w:bookmarkStart w:id="177" w:name="_Toc31791927"/>
      <w:r>
        <w:rPr>
          <w:rFonts w:hint="eastAsia" w:ascii="宋体" w:hAnsi="宋体"/>
          <w:snapToGrid w:val="0"/>
          <w:kern w:val="0"/>
          <w:sz w:val="24"/>
          <w:szCs w:val="24"/>
        </w:rPr>
        <w:t>2.1.1  系统功能要求</w:t>
      </w:r>
      <w:bookmarkEnd w:id="177"/>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卖方提供的高清视频监视系统至少应具有以下的系统功能：</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（1）图像采集</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采用全数字高清网络摄像机作为图像采集前端，图像分辨率不低于720P。</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（2）图像处理</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能对图像信息采用</w:t>
      </w:r>
      <w:r>
        <w:rPr>
          <w:rFonts w:ascii="宋体" w:hAnsi="宋体" w:eastAsia="宋体"/>
          <w:snapToGrid w:val="0"/>
          <w:sz w:val="24"/>
          <w:szCs w:val="24"/>
        </w:rPr>
        <w:t>H.264/M-JPEG</w:t>
      </w:r>
      <w:r>
        <w:rPr>
          <w:rFonts w:hint="eastAsia" w:ascii="宋体" w:hAnsi="宋体" w:eastAsia="宋体"/>
          <w:snapToGrid w:val="0"/>
          <w:sz w:val="24"/>
          <w:szCs w:val="24"/>
        </w:rPr>
        <w:t>压缩方式进行压缩、整理、加工等处理，使图像更清晰，失真度更小。</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（3）图像显示功能</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1）可实时显示多个视频图像窗口，每个视频图像窗口的大小、层次和位置可通过图像工作站或控制键盘任意调整设定。可以实现图象的分组切换、巡检、预案显示。</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2）在监视器上能实现显示画面的分割、拼接、切换、平铺、层叠、放大、缩小、静止等。</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（4）图像监视功能</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1）向中控室操作人员提供现场实时图像，取得设备运行的全面信息，尤其是不能由计算机监控系统提供的信息，如设备的实际运行状况、烟、光等。</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2）对历史图像进行完整的保存与回放，满足运行监控、管理对信息的要求，为设备故障或事故分析和处理提供准确、可靠的依据。</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（5）图像存储</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建立图像数据库，可存储系统中图像供各种用途调用。</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（6）自动调用功能</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能根据预置的图像，自动成组切换、调用相应的图像画面在监视器或大屏幕上显示。</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（7）循环切换功能</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具有图像的自动循环切换和手动切换功能，可将任意摄像机的图像切换到系统中任意一个监视器，并使每个监控点的地址及说明均可叠加在相对应的图像画面上。自动循环切换间隔时间可灵活设置。</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（8）移动侦测功能</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可设置移动侦测区域，实现多区域移动侦测，当异常情况发生时，能自动跟踪监测物体，同时能自动报警、录像等。</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（9）电子地图功能</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图像监控工作站应具有前端布点电子地图功能。可以用操作手柄、鼠标或键盘击活每个布点，自动切换出相关联的摄像机图像。</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（10）预置功能</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可以根据需要事先设置好所需监视点，并可自动扫描巡视。</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可以设置预置点。报警时，摄像机能自动转动到相应预置的目标点，并自动调节好相应的光圈、焦距、变焦等参数。</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（11）语音对讲功能</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摄像机前端应含有音频接口，可直接接入语音对讲设备或监听设备，满足现场语音对讲或监听功能。</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（12）报警布防、撤防功能</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报警的布防和撤防应包括报警点、报警设备类型、摄像机序号及联动动作等设置。所有报警点必须布防，系统应能在报警信号发生时作出响应，可以根据需要在不同时段布防和撤防。</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（13）录像功能</w:t>
      </w:r>
    </w:p>
    <w:p>
      <w:pPr>
        <w:pStyle w:val="99"/>
        <w:snapToGrid w:val="0"/>
        <w:spacing w:line="400" w:lineRule="exact"/>
        <w:ind w:firstLine="480" w:firstLineChars="200"/>
        <w:jc w:val="both"/>
        <w:rPr>
          <w:rFonts w:ascii="宋体" w:hAnsi="宋体" w:eastAsia="宋体"/>
          <w:snapToGrid w:val="0"/>
          <w:sz w:val="24"/>
          <w:szCs w:val="24"/>
        </w:rPr>
      </w:pPr>
      <w:r>
        <w:rPr>
          <w:rFonts w:ascii="宋体" w:hAnsi="宋体" w:eastAsia="宋体"/>
          <w:snapToGrid w:val="0"/>
          <w:sz w:val="24"/>
          <w:szCs w:val="24"/>
        </w:rPr>
        <w:t>1)</w:t>
      </w:r>
      <w:r>
        <w:rPr>
          <w:rFonts w:hint="eastAsia" w:ascii="宋体" w:hAnsi="宋体" w:eastAsia="宋体"/>
          <w:snapToGrid w:val="0"/>
          <w:sz w:val="24"/>
          <w:szCs w:val="24"/>
        </w:rPr>
        <w:t>录像方式</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a.使用网络方式对每路视频图像进行实时录像。</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b.具有报警录像功能，当报警发生时，自动进行录像，直至报警解除。</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c.手动录像，录像指令可以由图像监控工作站或授权的计算机下达。</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d.定时录像，根据设定的时间段自动录像。</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e.可通过图像监控工作站以网络方式随时调用录像存储服务器保存的任一路图像数据或将任一路图像数据转存。</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2</w:t>
      </w:r>
      <w:r>
        <w:rPr>
          <w:rFonts w:ascii="宋体" w:hAnsi="宋体" w:eastAsia="宋体"/>
          <w:snapToGrid w:val="0"/>
          <w:sz w:val="24"/>
          <w:szCs w:val="24"/>
        </w:rPr>
        <w:t>)</w:t>
      </w:r>
      <w:r>
        <w:rPr>
          <w:rFonts w:hint="eastAsia" w:ascii="宋体" w:hAnsi="宋体" w:eastAsia="宋体"/>
          <w:snapToGrid w:val="0"/>
          <w:sz w:val="24"/>
          <w:szCs w:val="24"/>
        </w:rPr>
        <w:t xml:space="preserve"> 录像检索及回放</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a.录像检索功能，可对系统中任一路图像进行录像，并按照时间、图像编号、摄像机号码等建立索引，以便保存记录，支持快速查找，以供各种分析取证。</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b.播放功能，将检索到的录像文件可以进行播放。一次可以播放单个录像文件，也可以连续播放多个录像，播放速度的快、慢可调整，文件播放结束后自动返回原来的状态。</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3</w:t>
      </w:r>
      <w:r>
        <w:rPr>
          <w:rFonts w:ascii="宋体" w:hAnsi="宋体" w:eastAsia="宋体"/>
          <w:snapToGrid w:val="0"/>
          <w:sz w:val="24"/>
          <w:szCs w:val="24"/>
        </w:rPr>
        <w:t>)</w:t>
      </w:r>
      <w:r>
        <w:rPr>
          <w:rFonts w:hint="eastAsia" w:ascii="宋体" w:hAnsi="宋体" w:eastAsia="宋体"/>
          <w:snapToGrid w:val="0"/>
          <w:sz w:val="24"/>
          <w:szCs w:val="24"/>
        </w:rPr>
        <w:t xml:space="preserve"> 录像管理</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a.录像硬盘空间管理功能，当剩余硬盘空间到达设置界限时，自动删除最早的录像文件。剩余硬盘空间和每次删除的录像空间可以根据需要设置。</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b.录像文件备份功能，录像文件可以有选择地备份到硬盘，以便重要录像的长期保存。</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c.录像文件删除功能，可以随时将没有保存价值的录像文件手动删除。</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（14）自诊断功能</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1）系统设备应具有自诊断功能，当设备自身故障时报警。</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2）设备自身防盗功能</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前端设备若发生被盗，有报警提示，并显示被盗设备位置。</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电站重要地方设防报警，一旦发生警情，能准确指出报警点的位置，并自动切换报警点的图像显示、录像存盘。</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（15）权限设置功能</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1）应能设置所有图像监控工作站和监控终端的优先级别、监控范围，并在必要时锁定图像监控工作站和监控终端的控制指令。</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2）图像监控主工作站具有监视、控制及报警功能，并具有最高的优先级。</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3）当多个图像监控工作站或监控终端同时监控同一前端时，控制权应可以根据用户优先权或通过用户之间消息对话协商分配。</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4）各图像监控工作站应具有与图像监控主工作站相同的监视、控制及报警功能。</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（16）图像监控工作站远方手动控制</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1）设置摄像机的IP地址、协议、分辨率、压缩格式等参数。</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2）设置摄像机移动侦测报警区域、隐私区域、字幕、时间、地点、水印等。</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3）摄像机开启</w:t>
      </w:r>
      <w:r>
        <w:rPr>
          <w:rFonts w:ascii="宋体" w:hAnsi="宋体" w:eastAsia="宋体"/>
          <w:snapToGrid w:val="0"/>
          <w:sz w:val="24"/>
          <w:szCs w:val="24"/>
        </w:rPr>
        <w:t>/</w:t>
      </w:r>
      <w:r>
        <w:rPr>
          <w:rFonts w:hint="eastAsia" w:ascii="宋体" w:hAnsi="宋体" w:eastAsia="宋体"/>
          <w:snapToGrid w:val="0"/>
          <w:sz w:val="24"/>
          <w:szCs w:val="24"/>
        </w:rPr>
        <w:t>关闭、云台水平</w:t>
      </w:r>
      <w:r>
        <w:rPr>
          <w:rFonts w:ascii="宋体" w:hAnsi="宋体" w:eastAsia="宋体"/>
          <w:snapToGrid w:val="0"/>
          <w:sz w:val="24"/>
          <w:szCs w:val="24"/>
        </w:rPr>
        <w:t>/</w:t>
      </w:r>
      <w:r>
        <w:rPr>
          <w:rFonts w:hint="eastAsia" w:ascii="宋体" w:hAnsi="宋体" w:eastAsia="宋体"/>
          <w:snapToGrid w:val="0"/>
          <w:sz w:val="24"/>
          <w:szCs w:val="24"/>
        </w:rPr>
        <w:t>垂直、防护罩雨刮风扇开启</w:t>
      </w:r>
      <w:r>
        <w:rPr>
          <w:rFonts w:ascii="宋体" w:hAnsi="宋体" w:eastAsia="宋体"/>
          <w:snapToGrid w:val="0"/>
          <w:sz w:val="24"/>
          <w:szCs w:val="24"/>
        </w:rPr>
        <w:t>/</w:t>
      </w:r>
      <w:r>
        <w:rPr>
          <w:rFonts w:hint="eastAsia" w:ascii="宋体" w:hAnsi="宋体" w:eastAsia="宋体"/>
          <w:snapToGrid w:val="0"/>
          <w:sz w:val="24"/>
          <w:szCs w:val="24"/>
        </w:rPr>
        <w:t>关闭。</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4）镜头焦距、光圈调节。</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5）预置位操作、自动巡航。</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6）手动录像。</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（17）系统管理功能</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1）用户管理</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提供用户及用户组的添加、删除以及用户信息的修改；至少应支持超级管理员、用户管理员和操作员三种用户。</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2）认证管理</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实现用户登录信息的认证，对登录用户的授权。</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3）权限管理</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采用用户分级管理机制实现用户权限的授予和取消，可针对不同用户分配不同的系统操作和设备管理权限。</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4）设备管理</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提供设备的添加、删除以及设备信息的修改，应可根据设备的名称、类型等参数进行设备搜索，支持设备权限的设置和修改，支持设备软件的远程升级功能。</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5）其它管理功能</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提供系统配置管理和系统性能管理，提供告警管理、安全管理和日志管理。</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（18）抗电磁干扰能力</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系统应能可靠运行，不受强电磁干扰和各类电磁噪声的干扰。</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（19）系统的扩展和升级能力</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1）系统应具有很好的扩展性，可增加前端设备摄像机、监视器、图像监控工作站。</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2）应能不断升级。当用户的有关硬件、操作系统更新、升级后，系统软件及应用软件应能升级、修改，保证系统正常运行。</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3）应具有二次开发、增加所需功能的能力。</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（20）系统的安全保证</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为应对伪装、非授权访问、抵赖、拒绝服务攻击、数据窃取、完整性破坏、病毒威胁，系统应采取用户认证、权限管理、设备认证、数据加密、VPN、防火墙等措施进行防范，卖方应提出详细方案。</w:t>
      </w:r>
    </w:p>
    <w:p>
      <w:pPr>
        <w:pStyle w:val="99"/>
        <w:snapToGrid w:val="0"/>
        <w:spacing w:line="400" w:lineRule="exact"/>
        <w:ind w:firstLine="480" w:firstLineChars="200"/>
        <w:jc w:val="both"/>
        <w:rPr>
          <w:rFonts w:ascii="宋体" w:hAnsi="宋体" w:eastAsia="宋体"/>
          <w:snapToGrid w:val="0"/>
          <w:sz w:val="24"/>
          <w:szCs w:val="24"/>
        </w:rPr>
      </w:pPr>
      <w:r>
        <w:rPr>
          <w:rFonts w:hint="eastAsia" w:ascii="宋体" w:hAnsi="宋体" w:eastAsia="宋体"/>
          <w:snapToGrid w:val="0"/>
          <w:sz w:val="24"/>
          <w:szCs w:val="24"/>
        </w:rPr>
        <w:t>电站图像监控系统与其他系统的网络接口应采用网络安全隔离措施，以保证本系统的安全。</w:t>
      </w:r>
    </w:p>
    <w:p>
      <w:pPr>
        <w:adjustRightInd w:val="0"/>
        <w:snapToGrid w:val="0"/>
        <w:spacing w:line="400" w:lineRule="exact"/>
        <w:ind w:firstLine="480" w:firstLineChars="200"/>
        <w:rPr>
          <w:rFonts w:hint="eastAsia" w:ascii="宋体" w:hAnsi="宋体"/>
          <w:snapToGrid w:val="0"/>
          <w:kern w:val="0"/>
          <w:sz w:val="24"/>
          <w:szCs w:val="24"/>
        </w:rPr>
      </w:pPr>
      <w:bookmarkStart w:id="178" w:name="_Toc31791928"/>
      <w:r>
        <w:rPr>
          <w:rFonts w:hint="eastAsia" w:ascii="宋体" w:hAnsi="宋体"/>
          <w:snapToGrid w:val="0"/>
          <w:kern w:val="0"/>
          <w:sz w:val="24"/>
          <w:szCs w:val="24"/>
        </w:rPr>
        <w:t>2.1.2  硬盘录像机</w:t>
      </w:r>
      <w:bookmarkEnd w:id="178"/>
    </w:p>
    <w:p>
      <w:pPr>
        <w:rPr>
          <w:snapToGrid w:val="0"/>
          <w:kern w:val="0"/>
        </w:rPr>
      </w:pPr>
    </w:p>
    <w:tbl>
      <w:tblPr>
        <w:tblStyle w:val="6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7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2"/>
            <w:tcBorders>
              <w:top w:val="single" w:color="auto" w:sz="4" w:space="0"/>
              <w:left w:val="single" w:color="auto" w:sz="4" w:space="0"/>
              <w:bottom w:val="single" w:color="auto" w:sz="4" w:space="0"/>
              <w:right w:val="single" w:color="auto" w:sz="4" w:space="0"/>
            </w:tcBorders>
            <w:vAlign w:val="center"/>
          </w:tcPr>
          <w:p>
            <w:pPr>
              <w:pStyle w:val="243"/>
              <w:adjustRightInd w:val="0"/>
              <w:snapToGrid w:val="0"/>
              <w:spacing w:line="240" w:lineRule="auto"/>
              <w:ind w:firstLine="0" w:firstLineChars="0"/>
              <w:jc w:val="center"/>
              <w:rPr>
                <w:rFonts w:ascii="宋体" w:hAnsi="宋体" w:eastAsia="宋体" w:cs="宋体"/>
                <w:snapToGrid w:val="0"/>
                <w:kern w:val="0"/>
                <w:sz w:val="21"/>
                <w:szCs w:val="21"/>
              </w:rPr>
            </w:pPr>
            <w:r>
              <w:rPr>
                <w:rFonts w:hint="eastAsia" w:ascii="宋体" w:hAnsi="宋体" w:eastAsia="宋体" w:cs="宋体"/>
                <w:snapToGrid w:val="0"/>
                <w:kern w:val="0"/>
                <w:sz w:val="21"/>
                <w:szCs w:val="21"/>
              </w:rPr>
              <w:t>视频音频输入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2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bCs/>
                <w:snapToGrid w:val="0"/>
                <w:kern w:val="0"/>
                <w:szCs w:val="21"/>
              </w:rPr>
            </w:pPr>
            <w:r>
              <w:rPr>
                <w:rFonts w:hint="eastAsia" w:ascii="宋体" w:hAnsi="宋体" w:cs="宋体"/>
                <w:snapToGrid w:val="0"/>
                <w:kern w:val="0"/>
                <w:szCs w:val="21"/>
              </w:rPr>
              <w:t>视频输入路数</w:t>
            </w:r>
          </w:p>
        </w:tc>
        <w:tc>
          <w:tcPr>
            <w:tcW w:w="4079" w:type="pct"/>
            <w:tcBorders>
              <w:top w:val="single" w:color="auto" w:sz="4" w:space="0"/>
              <w:left w:val="single" w:color="auto" w:sz="4" w:space="0"/>
              <w:bottom w:val="single" w:color="auto" w:sz="4" w:space="0"/>
              <w:right w:val="single" w:color="auto" w:sz="4" w:space="0"/>
            </w:tcBorders>
            <w:vAlign w:val="center"/>
          </w:tcPr>
          <w:p>
            <w:pPr>
              <w:pStyle w:val="243"/>
              <w:adjustRightInd w:val="0"/>
              <w:snapToGrid w:val="0"/>
              <w:spacing w:line="240" w:lineRule="auto"/>
              <w:ind w:firstLine="0" w:firstLineChars="0"/>
              <w:jc w:val="center"/>
              <w:rPr>
                <w:rFonts w:ascii="宋体" w:hAnsi="宋体" w:eastAsia="宋体"/>
                <w:snapToGrid w:val="0"/>
                <w:kern w:val="0"/>
                <w:sz w:val="21"/>
                <w:szCs w:val="21"/>
                <w:highlight w:val="red"/>
              </w:rPr>
            </w:pPr>
            <w:r>
              <w:rPr>
                <w:rFonts w:hint="eastAsia" w:ascii="宋体" w:hAnsi="宋体" w:eastAsia="宋体" w:cs="宋体"/>
                <w:snapToGrid w:val="0"/>
                <w:kern w:val="0"/>
                <w:sz w:val="21"/>
                <w:szCs w:val="21"/>
              </w:rPr>
              <w:t>32路1080</w:t>
            </w:r>
            <w:r>
              <w:rPr>
                <w:rFonts w:ascii="宋体" w:hAnsi="宋体" w:eastAsia="宋体" w:cs="宋体"/>
                <w:snapToGrid w:val="0"/>
                <w:kern w:val="0"/>
                <w:sz w:val="21"/>
                <w:szCs w:val="21"/>
              </w:rPr>
              <w:t>p</w:t>
            </w:r>
            <w:r>
              <w:rPr>
                <w:rFonts w:hint="eastAsia" w:ascii="宋体" w:hAnsi="宋体" w:eastAsia="宋体" w:cs="宋体"/>
                <w:snapToGrid w:val="0"/>
                <w:kern w:val="0"/>
                <w:sz w:val="21"/>
                <w:szCs w:val="21"/>
              </w:rPr>
              <w:t>/720</w:t>
            </w:r>
            <w:r>
              <w:rPr>
                <w:rFonts w:ascii="宋体" w:hAnsi="宋体" w:eastAsia="宋体" w:cs="宋体"/>
                <w:snapToGrid w:val="0"/>
                <w:kern w:val="0"/>
                <w:sz w:val="21"/>
                <w:szCs w:val="21"/>
              </w:rPr>
              <w:t>p</w:t>
            </w:r>
            <w:r>
              <w:rPr>
                <w:rFonts w:hint="eastAsia" w:ascii="宋体" w:hAnsi="宋体" w:eastAsia="宋体" w:cs="宋体"/>
                <w:snapToGrid w:val="0"/>
                <w:kern w:val="0"/>
                <w:sz w:val="21"/>
                <w:szCs w:val="21"/>
              </w:rPr>
              <w:t>/4CIF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2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实时</w:t>
            </w:r>
            <w:r>
              <w:rPr>
                <w:rFonts w:ascii="宋体" w:hAnsi="宋体" w:cs="宋体"/>
                <w:snapToGrid w:val="0"/>
                <w:kern w:val="0"/>
                <w:szCs w:val="21"/>
              </w:rPr>
              <w:t>浏览</w:t>
            </w:r>
          </w:p>
        </w:tc>
        <w:tc>
          <w:tcPr>
            <w:tcW w:w="4079" w:type="pct"/>
            <w:tcBorders>
              <w:top w:val="single" w:color="auto" w:sz="4" w:space="0"/>
              <w:left w:val="single" w:color="auto" w:sz="4" w:space="0"/>
              <w:bottom w:val="single" w:color="auto" w:sz="4" w:space="0"/>
              <w:right w:val="single" w:color="auto" w:sz="4" w:space="0"/>
            </w:tcBorders>
            <w:vAlign w:val="center"/>
          </w:tcPr>
          <w:p>
            <w:pPr>
              <w:pStyle w:val="243"/>
              <w:adjustRightInd w:val="0"/>
              <w:snapToGrid w:val="0"/>
              <w:spacing w:line="240" w:lineRule="auto"/>
              <w:ind w:firstLine="0" w:firstLineChars="0"/>
              <w:jc w:val="center"/>
              <w:rPr>
                <w:rFonts w:ascii="宋体" w:hAnsi="宋体" w:eastAsia="宋体" w:cs="宋体"/>
                <w:snapToGrid w:val="0"/>
                <w:kern w:val="0"/>
                <w:sz w:val="21"/>
                <w:szCs w:val="21"/>
              </w:rPr>
            </w:pPr>
            <w:r>
              <w:rPr>
                <w:rFonts w:hint="eastAsia" w:ascii="宋体" w:hAnsi="宋体" w:eastAsia="宋体" w:cs="宋体"/>
                <w:snapToGrid w:val="0"/>
                <w:kern w:val="0"/>
                <w:sz w:val="21"/>
                <w:szCs w:val="21"/>
              </w:rPr>
              <w:t>1/4/6/8/9/16/25/36画面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2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智能分析</w:t>
            </w:r>
          </w:p>
        </w:tc>
        <w:tc>
          <w:tcPr>
            <w:tcW w:w="407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支持32路</w:t>
            </w:r>
            <w:r>
              <w:rPr>
                <w:rFonts w:ascii="宋体" w:hAnsi="宋体" w:cs="宋体"/>
                <w:snapToGrid w:val="0"/>
                <w:kern w:val="0"/>
                <w:szCs w:val="21"/>
              </w:rPr>
              <w:t>前端智能分析处理（</w:t>
            </w:r>
            <w:r>
              <w:rPr>
                <w:rFonts w:hint="eastAsia" w:ascii="宋体" w:hAnsi="宋体" w:cs="宋体"/>
                <w:snapToGrid w:val="0"/>
                <w:kern w:val="0"/>
                <w:szCs w:val="21"/>
              </w:rPr>
              <w:t>绊线、周界）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2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音频输入</w:t>
            </w:r>
          </w:p>
        </w:tc>
        <w:tc>
          <w:tcPr>
            <w:tcW w:w="407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bCs/>
                <w:snapToGrid w:val="0"/>
                <w:kern w:val="0"/>
                <w:szCs w:val="21"/>
              </w:rPr>
            </w:pPr>
            <w:r>
              <w:rPr>
                <w:rFonts w:hint="eastAsia" w:ascii="宋体" w:hAnsi="宋体"/>
                <w:bCs/>
                <w:snapToGrid w:val="0"/>
                <w:kern w:val="0"/>
                <w:szCs w:val="21"/>
              </w:rPr>
              <w:t>1路，3.5mm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bCs/>
                <w:snapToGrid w:val="0"/>
                <w:kern w:val="0"/>
                <w:szCs w:val="21"/>
              </w:rPr>
            </w:pPr>
            <w:r>
              <w:rPr>
                <w:rFonts w:hint="eastAsia" w:ascii="宋体" w:hAnsi="宋体" w:cs="宋体"/>
                <w:snapToGrid w:val="0"/>
                <w:kern w:val="0"/>
                <w:szCs w:val="21"/>
              </w:rPr>
              <w:t>视频音频输出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21" w:type="pct"/>
            <w:vMerge w:val="restart"/>
            <w:tcBorders>
              <w:left w:val="single" w:color="auto" w:sz="4" w:space="0"/>
              <w:right w:val="single" w:color="auto" w:sz="4" w:space="0"/>
            </w:tcBorders>
            <w:vAlign w:val="center"/>
          </w:tcPr>
          <w:p>
            <w:pPr>
              <w:adjustRightInd w:val="0"/>
              <w:snapToGrid w:val="0"/>
              <w:jc w:val="center"/>
              <w:rPr>
                <w:rFonts w:ascii="宋体" w:hAnsi="宋体"/>
                <w:bCs/>
                <w:snapToGrid w:val="0"/>
                <w:kern w:val="0"/>
                <w:szCs w:val="21"/>
              </w:rPr>
            </w:pPr>
            <w:r>
              <w:rPr>
                <w:rFonts w:hint="eastAsia" w:ascii="宋体" w:hAnsi="宋体" w:cs="宋体"/>
                <w:snapToGrid w:val="0"/>
                <w:kern w:val="0"/>
                <w:szCs w:val="21"/>
              </w:rPr>
              <w:t>VGA输出</w:t>
            </w:r>
          </w:p>
        </w:tc>
        <w:tc>
          <w:tcPr>
            <w:tcW w:w="407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1路，分辨率为1920</w:t>
            </w:r>
            <w:r>
              <w:rPr>
                <w:rFonts w:ascii="宋体" w:hAnsi="宋体" w:cs="宋体"/>
                <w:snapToGrid w:val="0"/>
                <w:kern w:val="0"/>
                <w:szCs w:val="21"/>
              </w:rPr>
              <w:t>×</w:t>
            </w:r>
            <w:r>
              <w:rPr>
                <w:rFonts w:hint="eastAsia" w:ascii="宋体" w:hAnsi="宋体" w:cs="宋体"/>
                <w:snapToGrid w:val="0"/>
                <w:kern w:val="0"/>
                <w:szCs w:val="21"/>
              </w:rPr>
              <w:t>1080，1280</w:t>
            </w:r>
            <w:r>
              <w:rPr>
                <w:rFonts w:ascii="宋体" w:hAnsi="宋体" w:cs="宋体"/>
                <w:snapToGrid w:val="0"/>
                <w:kern w:val="0"/>
                <w:szCs w:val="21"/>
              </w:rPr>
              <w:t>×</w:t>
            </w:r>
            <w:r>
              <w:rPr>
                <w:rFonts w:hint="eastAsia" w:ascii="宋体" w:hAnsi="宋体" w:cs="宋体"/>
                <w:snapToGrid w:val="0"/>
                <w:kern w:val="0"/>
                <w:szCs w:val="21"/>
              </w:rPr>
              <w:t>720，</w:t>
            </w:r>
          </w:p>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800</w:t>
            </w:r>
            <w:r>
              <w:rPr>
                <w:rFonts w:ascii="宋体" w:hAnsi="宋体" w:cs="宋体"/>
                <w:snapToGrid w:val="0"/>
                <w:kern w:val="0"/>
                <w:szCs w:val="21"/>
              </w:rPr>
              <w:t>×</w:t>
            </w:r>
            <w:r>
              <w:rPr>
                <w:rFonts w:hint="eastAsia" w:ascii="宋体" w:hAnsi="宋体" w:cs="宋体"/>
                <w:snapToGrid w:val="0"/>
                <w:kern w:val="0"/>
                <w:szCs w:val="21"/>
              </w:rPr>
              <w:t>600,1024</w:t>
            </w:r>
            <w:r>
              <w:rPr>
                <w:rFonts w:ascii="宋体" w:hAnsi="宋体" w:cs="宋体"/>
                <w:snapToGrid w:val="0"/>
                <w:kern w:val="0"/>
                <w:szCs w:val="21"/>
              </w:rPr>
              <w:t>×</w:t>
            </w:r>
            <w:r>
              <w:rPr>
                <w:rFonts w:hint="eastAsia" w:ascii="宋体" w:hAnsi="宋体" w:cs="宋体"/>
                <w:snapToGrid w:val="0"/>
                <w:kern w:val="0"/>
                <w:szCs w:val="21"/>
              </w:rPr>
              <w:t>768，1366</w:t>
            </w:r>
            <w:r>
              <w:rPr>
                <w:rFonts w:ascii="宋体" w:hAnsi="宋体" w:cs="宋体"/>
                <w:snapToGrid w:val="0"/>
                <w:kern w:val="0"/>
                <w:szCs w:val="21"/>
              </w:rPr>
              <w:t>×</w:t>
            </w:r>
            <w:r>
              <w:rPr>
                <w:rFonts w:hint="eastAsia" w:ascii="宋体" w:hAnsi="宋体" w:cs="宋体"/>
                <w:snapToGrid w:val="0"/>
                <w:kern w:val="0"/>
                <w:szCs w:val="21"/>
              </w:rPr>
              <w:t>768,1440</w:t>
            </w:r>
            <w:r>
              <w:rPr>
                <w:rFonts w:ascii="宋体" w:hAnsi="宋体" w:cs="宋体"/>
                <w:snapToGrid w:val="0"/>
                <w:kern w:val="0"/>
                <w:szCs w:val="21"/>
              </w:rPr>
              <w:t>×</w:t>
            </w:r>
            <w:r>
              <w:rPr>
                <w:rFonts w:hint="eastAsia" w:ascii="宋体" w:hAnsi="宋体" w:cs="宋体"/>
                <w:snapToGrid w:val="0"/>
                <w:kern w:val="0"/>
                <w:szCs w:val="21"/>
              </w:rPr>
              <w:t>900,1280</w:t>
            </w:r>
            <w:r>
              <w:rPr>
                <w:rFonts w:ascii="宋体" w:hAnsi="宋体" w:cs="宋体"/>
                <w:snapToGrid w:val="0"/>
                <w:kern w:val="0"/>
                <w:szCs w:val="21"/>
              </w:rPr>
              <w:t>×</w:t>
            </w:r>
            <w:r>
              <w:rPr>
                <w:rFonts w:hint="eastAsia" w:ascii="宋体" w:hAnsi="宋体" w:cs="宋体"/>
                <w:snapToGrid w:val="0"/>
                <w:kern w:val="0"/>
                <w:szCs w:val="21"/>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21" w:type="pct"/>
            <w:vMerge w:val="continue"/>
            <w:tcBorders>
              <w:left w:val="single" w:color="auto" w:sz="4" w:space="0"/>
              <w:bottom w:val="single" w:color="auto" w:sz="4" w:space="0"/>
              <w:right w:val="single" w:color="auto" w:sz="4" w:space="0"/>
            </w:tcBorders>
            <w:vAlign w:val="center"/>
          </w:tcPr>
          <w:p>
            <w:pPr>
              <w:adjustRightInd w:val="0"/>
              <w:snapToGrid w:val="0"/>
              <w:jc w:val="center"/>
              <w:rPr>
                <w:rFonts w:ascii="宋体" w:hAnsi="宋体" w:cs="宋体"/>
                <w:snapToGrid w:val="0"/>
                <w:kern w:val="0"/>
                <w:szCs w:val="21"/>
              </w:rPr>
            </w:pPr>
          </w:p>
        </w:tc>
        <w:tc>
          <w:tcPr>
            <w:tcW w:w="407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输出</w:t>
            </w:r>
            <w:r>
              <w:rPr>
                <w:rFonts w:ascii="宋体" w:hAnsi="宋体" w:cs="宋体"/>
                <w:snapToGrid w:val="0"/>
                <w:kern w:val="0"/>
                <w:szCs w:val="21"/>
              </w:rPr>
              <w:t>模式可调，输出分辨率自适应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21" w:type="pct"/>
            <w:tcBorders>
              <w:left w:val="single" w:color="auto" w:sz="4" w:space="0"/>
            </w:tcBorders>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HDMI输出</w:t>
            </w:r>
          </w:p>
        </w:tc>
        <w:tc>
          <w:tcPr>
            <w:tcW w:w="4079" w:type="pct"/>
            <w:vAlign w:val="center"/>
          </w:tcPr>
          <w:p>
            <w:pPr>
              <w:adjustRightInd w:val="0"/>
              <w:snapToGrid w:val="0"/>
              <w:jc w:val="center"/>
              <w:rPr>
                <w:rFonts w:ascii="宋体" w:hAnsi="宋体" w:cs="宋体"/>
                <w:snapToGrid w:val="0"/>
                <w:kern w:val="0"/>
                <w:szCs w:val="21"/>
              </w:rPr>
            </w:pPr>
            <w:r>
              <w:rPr>
                <w:rFonts w:hint="eastAsia" w:ascii="宋体" w:hAnsi="宋体"/>
                <w:bCs/>
                <w:snapToGrid w:val="0"/>
                <w:kern w:val="0"/>
                <w:szCs w:val="21"/>
              </w:rPr>
              <w:t>2</w:t>
            </w:r>
            <w:r>
              <w:rPr>
                <w:rFonts w:hint="eastAsia" w:ascii="宋体" w:hAnsi="宋体" w:cs="宋体"/>
                <w:snapToGrid w:val="0"/>
                <w:kern w:val="0"/>
                <w:szCs w:val="21"/>
              </w:rPr>
              <w:t>路，分辨率为1920</w:t>
            </w:r>
            <w:r>
              <w:rPr>
                <w:rFonts w:ascii="宋体" w:hAnsi="宋体" w:cs="宋体"/>
                <w:snapToGrid w:val="0"/>
                <w:kern w:val="0"/>
                <w:szCs w:val="21"/>
              </w:rPr>
              <w:t>×</w:t>
            </w:r>
            <w:r>
              <w:rPr>
                <w:rFonts w:hint="eastAsia" w:ascii="宋体" w:hAnsi="宋体" w:cs="宋体"/>
                <w:snapToGrid w:val="0"/>
                <w:kern w:val="0"/>
                <w:szCs w:val="21"/>
              </w:rPr>
              <w:t>1080，1280</w:t>
            </w:r>
            <w:r>
              <w:rPr>
                <w:rFonts w:ascii="宋体" w:hAnsi="宋体" w:cs="宋体"/>
                <w:snapToGrid w:val="0"/>
                <w:kern w:val="0"/>
                <w:szCs w:val="21"/>
              </w:rPr>
              <w:t>×</w:t>
            </w:r>
            <w:r>
              <w:rPr>
                <w:rFonts w:hint="eastAsia" w:ascii="宋体" w:hAnsi="宋体" w:cs="宋体"/>
                <w:snapToGrid w:val="0"/>
                <w:kern w:val="0"/>
                <w:szCs w:val="21"/>
              </w:rPr>
              <w:t>720，</w:t>
            </w:r>
          </w:p>
          <w:p>
            <w:pPr>
              <w:adjustRightInd w:val="0"/>
              <w:snapToGrid w:val="0"/>
              <w:jc w:val="center"/>
              <w:rPr>
                <w:rFonts w:ascii="宋体" w:hAnsi="宋体"/>
                <w:bCs/>
                <w:snapToGrid w:val="0"/>
                <w:kern w:val="0"/>
                <w:szCs w:val="21"/>
              </w:rPr>
            </w:pPr>
            <w:r>
              <w:rPr>
                <w:rFonts w:hint="eastAsia" w:ascii="宋体" w:hAnsi="宋体" w:cs="宋体"/>
                <w:snapToGrid w:val="0"/>
                <w:kern w:val="0"/>
                <w:szCs w:val="21"/>
              </w:rPr>
              <w:t>800</w:t>
            </w:r>
            <w:r>
              <w:rPr>
                <w:rFonts w:ascii="宋体" w:hAnsi="宋体" w:cs="宋体"/>
                <w:snapToGrid w:val="0"/>
                <w:kern w:val="0"/>
                <w:szCs w:val="21"/>
              </w:rPr>
              <w:t>×</w:t>
            </w:r>
            <w:r>
              <w:rPr>
                <w:rFonts w:hint="eastAsia" w:ascii="宋体" w:hAnsi="宋体" w:cs="宋体"/>
                <w:snapToGrid w:val="0"/>
                <w:kern w:val="0"/>
                <w:szCs w:val="21"/>
              </w:rPr>
              <w:t>600,1024</w:t>
            </w:r>
            <w:r>
              <w:rPr>
                <w:rFonts w:ascii="宋体" w:hAnsi="宋体" w:cs="宋体"/>
                <w:snapToGrid w:val="0"/>
                <w:kern w:val="0"/>
                <w:szCs w:val="21"/>
              </w:rPr>
              <w:t>×</w:t>
            </w:r>
            <w:r>
              <w:rPr>
                <w:rFonts w:hint="eastAsia" w:ascii="宋体" w:hAnsi="宋体" w:cs="宋体"/>
                <w:snapToGrid w:val="0"/>
                <w:kern w:val="0"/>
                <w:szCs w:val="21"/>
              </w:rPr>
              <w:t>768,1366</w:t>
            </w:r>
            <w:r>
              <w:rPr>
                <w:rFonts w:ascii="宋体" w:hAnsi="宋体" w:cs="宋体"/>
                <w:snapToGrid w:val="0"/>
                <w:kern w:val="0"/>
                <w:szCs w:val="21"/>
              </w:rPr>
              <w:t>×</w:t>
            </w:r>
            <w:r>
              <w:rPr>
                <w:rFonts w:hint="eastAsia" w:ascii="宋体" w:hAnsi="宋体" w:cs="宋体"/>
                <w:snapToGrid w:val="0"/>
                <w:kern w:val="0"/>
                <w:szCs w:val="21"/>
              </w:rPr>
              <w:t>768,1440</w:t>
            </w:r>
            <w:r>
              <w:rPr>
                <w:rFonts w:ascii="宋体" w:hAnsi="宋体" w:cs="宋体"/>
                <w:snapToGrid w:val="0"/>
                <w:kern w:val="0"/>
                <w:szCs w:val="21"/>
              </w:rPr>
              <w:t>×</w:t>
            </w:r>
            <w:r>
              <w:rPr>
                <w:rFonts w:hint="eastAsia" w:ascii="宋体" w:hAnsi="宋体" w:cs="宋体"/>
                <w:snapToGrid w:val="0"/>
                <w:kern w:val="0"/>
                <w:szCs w:val="21"/>
              </w:rPr>
              <w:t>900,1280</w:t>
            </w:r>
            <w:r>
              <w:rPr>
                <w:rFonts w:ascii="宋体" w:hAnsi="宋体" w:cs="宋体"/>
                <w:snapToGrid w:val="0"/>
                <w:kern w:val="0"/>
                <w:szCs w:val="21"/>
              </w:rPr>
              <w:t>×</w:t>
            </w:r>
            <w:r>
              <w:rPr>
                <w:rFonts w:hint="eastAsia" w:ascii="宋体" w:hAnsi="宋体" w:cs="宋体"/>
                <w:snapToGrid w:val="0"/>
                <w:kern w:val="0"/>
                <w:szCs w:val="21"/>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21" w:type="pct"/>
            <w:tcBorders>
              <w:left w:val="single" w:color="auto" w:sz="4" w:space="0"/>
              <w:bottom w:val="single" w:color="auto" w:sz="4" w:space="0"/>
            </w:tcBorders>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音频输出</w:t>
            </w:r>
          </w:p>
        </w:tc>
        <w:tc>
          <w:tcPr>
            <w:tcW w:w="4079" w:type="pct"/>
            <w:tcBorders>
              <w:bottom w:val="single" w:color="auto" w:sz="4" w:space="0"/>
            </w:tcBorders>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2路，1</w:t>
            </w:r>
            <w:r>
              <w:rPr>
                <w:rFonts w:ascii="宋体" w:hAnsi="宋体" w:cs="宋体"/>
                <w:snapToGrid w:val="0"/>
                <w:kern w:val="0"/>
                <w:szCs w:val="21"/>
              </w:rPr>
              <w:t>×</w:t>
            </w:r>
            <w:r>
              <w:rPr>
                <w:rFonts w:hint="eastAsia" w:ascii="宋体" w:hAnsi="宋体" w:cs="宋体"/>
                <w:snapToGrid w:val="0"/>
                <w:kern w:val="0"/>
                <w:szCs w:val="21"/>
              </w:rPr>
              <w:t>BNC和1</w:t>
            </w:r>
            <w:r>
              <w:rPr>
                <w:rFonts w:ascii="宋体" w:hAnsi="宋体" w:cs="宋体"/>
                <w:snapToGrid w:val="0"/>
                <w:kern w:val="0"/>
                <w:szCs w:val="21"/>
              </w:rPr>
              <w:t>×</w:t>
            </w:r>
            <w:r>
              <w:rPr>
                <w:rFonts w:hint="eastAsia" w:ascii="宋体" w:hAnsi="宋体" w:cs="宋体"/>
                <w:snapToGrid w:val="0"/>
                <w:kern w:val="0"/>
                <w:szCs w:val="21"/>
              </w:rPr>
              <w:t>3.5mm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cs="宋体"/>
                <w:snapToGrid w:val="0"/>
                <w:kern w:val="0"/>
                <w:szCs w:val="21"/>
              </w:rPr>
            </w:pPr>
            <w:r>
              <w:rPr>
                <w:rFonts w:ascii="宋体" w:hAnsi="宋体" w:cs="宋体"/>
                <w:snapToGrid w:val="0"/>
                <w:kern w:val="0"/>
                <w:szCs w:val="21"/>
              </w:rPr>
              <w:t>编码参数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2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录像分辨率</w:t>
            </w:r>
          </w:p>
        </w:tc>
        <w:tc>
          <w:tcPr>
            <w:tcW w:w="407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cs="宋体"/>
                <w:snapToGrid w:val="0"/>
                <w:kern w:val="0"/>
                <w:szCs w:val="21"/>
              </w:rPr>
            </w:pPr>
            <w:r>
              <w:rPr>
                <w:rFonts w:ascii="宋体" w:hAnsi="宋体"/>
                <w:snapToGrid w:val="0"/>
                <w:kern w:val="0"/>
                <w:szCs w:val="21"/>
              </w:rPr>
              <w:t>6MP/5MP/3MP/1080P/UXGA/720P/VGA/4CIF/DCIF/2CIF/CIF/QCIF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2"/>
            <w:tcBorders>
              <w:left w:val="single" w:color="auto" w:sz="4" w:space="0"/>
            </w:tcBorders>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产品功能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21" w:type="pct"/>
            <w:tcBorders>
              <w:left w:val="single" w:color="auto" w:sz="4" w:space="0"/>
            </w:tcBorders>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硬盘</w:t>
            </w:r>
            <w:r>
              <w:rPr>
                <w:rFonts w:ascii="宋体" w:hAnsi="宋体" w:cs="宋体"/>
                <w:snapToGrid w:val="0"/>
                <w:kern w:val="0"/>
                <w:szCs w:val="21"/>
              </w:rPr>
              <w:t>接入</w:t>
            </w:r>
          </w:p>
        </w:tc>
        <w:tc>
          <w:tcPr>
            <w:tcW w:w="4079" w:type="pct"/>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支持8块</w:t>
            </w:r>
            <w:r>
              <w:rPr>
                <w:rFonts w:ascii="宋体" w:hAnsi="宋体" w:cs="宋体"/>
                <w:snapToGrid w:val="0"/>
                <w:kern w:val="0"/>
                <w:szCs w:val="21"/>
              </w:rPr>
              <w:t>硬盘接入，单块硬盘最大支持</w:t>
            </w:r>
            <w:r>
              <w:rPr>
                <w:rFonts w:hint="eastAsia" w:ascii="宋体" w:hAnsi="宋体" w:cs="宋体"/>
                <w:snapToGrid w:val="0"/>
                <w:kern w:val="0"/>
                <w:szCs w:val="21"/>
              </w:rPr>
              <w:t>4</w:t>
            </w:r>
            <w:r>
              <w:rPr>
                <w:rFonts w:ascii="宋体" w:hAnsi="宋体" w:cs="宋体"/>
                <w:snapToGrid w:val="0"/>
                <w:kern w:val="0"/>
                <w:szCs w:val="21"/>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21" w:type="pct"/>
            <w:tcBorders>
              <w:left w:val="single" w:color="auto" w:sz="4" w:space="0"/>
            </w:tcBorders>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硬盘管理</w:t>
            </w:r>
          </w:p>
        </w:tc>
        <w:tc>
          <w:tcPr>
            <w:tcW w:w="4079" w:type="pct"/>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盘组划分、配额、自定义录像天数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21" w:type="pct"/>
            <w:tcBorders>
              <w:left w:val="single" w:color="auto" w:sz="4" w:space="0"/>
            </w:tcBorders>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同步</w:t>
            </w:r>
            <w:r>
              <w:rPr>
                <w:rFonts w:ascii="宋体" w:hAnsi="宋体" w:cs="宋体"/>
                <w:snapToGrid w:val="0"/>
                <w:kern w:val="0"/>
                <w:szCs w:val="21"/>
              </w:rPr>
              <w:t>回放</w:t>
            </w:r>
          </w:p>
        </w:tc>
        <w:tc>
          <w:tcPr>
            <w:tcW w:w="4079" w:type="pct"/>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最大支持8路1080</w:t>
            </w:r>
            <w:r>
              <w:rPr>
                <w:rFonts w:ascii="宋体" w:hAnsi="宋体" w:cs="宋体"/>
                <w:snapToGrid w:val="0"/>
                <w:kern w:val="0"/>
                <w:szCs w:val="21"/>
              </w:rPr>
              <w:t>p</w:t>
            </w:r>
            <w:r>
              <w:rPr>
                <w:rFonts w:hint="eastAsia" w:ascii="宋体" w:hAnsi="宋体" w:cs="宋体"/>
                <w:snapToGrid w:val="0"/>
                <w:kern w:val="0"/>
                <w:szCs w:val="21"/>
              </w:rPr>
              <w:t>/16路720</w:t>
            </w:r>
            <w:r>
              <w:rPr>
                <w:rFonts w:ascii="宋体" w:hAnsi="宋体" w:cs="宋体"/>
                <w:snapToGrid w:val="0"/>
                <w:kern w:val="0"/>
                <w:szCs w:val="21"/>
              </w:rPr>
              <w:t>p</w:t>
            </w:r>
            <w:r>
              <w:rPr>
                <w:rFonts w:hint="eastAsia" w:ascii="宋体" w:hAnsi="宋体" w:cs="宋体"/>
                <w:snapToGrid w:val="0"/>
                <w:kern w:val="0"/>
                <w:szCs w:val="21"/>
              </w:rPr>
              <w:t>/16路4CIF视频同步回放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21" w:type="pct"/>
            <w:tcBorders>
              <w:left w:val="single" w:color="auto" w:sz="4" w:space="0"/>
            </w:tcBorders>
            <w:vAlign w:val="center"/>
          </w:tcPr>
          <w:p>
            <w:pPr>
              <w:adjustRightInd w:val="0"/>
              <w:snapToGrid w:val="0"/>
              <w:ind w:firstLine="420"/>
              <w:jc w:val="center"/>
              <w:rPr>
                <w:rFonts w:ascii="宋体" w:hAnsi="宋体" w:cs="宋体"/>
                <w:snapToGrid w:val="0"/>
                <w:kern w:val="0"/>
                <w:szCs w:val="21"/>
              </w:rPr>
            </w:pPr>
            <w:r>
              <w:rPr>
                <w:rFonts w:hint="eastAsia" w:ascii="宋体" w:hAnsi="宋体" w:cs="宋体"/>
                <w:snapToGrid w:val="0"/>
                <w:kern w:val="0"/>
                <w:szCs w:val="21"/>
              </w:rPr>
              <w:t>报警</w:t>
            </w:r>
            <w:r>
              <w:rPr>
                <w:rFonts w:ascii="宋体" w:hAnsi="宋体" w:cs="宋体"/>
                <w:snapToGrid w:val="0"/>
                <w:kern w:val="0"/>
                <w:szCs w:val="21"/>
              </w:rPr>
              <w:t>录像</w:t>
            </w:r>
          </w:p>
        </w:tc>
        <w:tc>
          <w:tcPr>
            <w:tcW w:w="4079" w:type="pct"/>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支持移动侦测报警录像、端口报警录像、动测和报警录像、</w:t>
            </w:r>
          </w:p>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动测或报警录像、视频遮挡、智能分析的预录及延时录像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21" w:type="pct"/>
            <w:tcBorders>
              <w:left w:val="single" w:color="auto" w:sz="4" w:space="0"/>
            </w:tcBorders>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录像检索</w:t>
            </w:r>
            <w:r>
              <w:rPr>
                <w:rFonts w:ascii="宋体" w:hAnsi="宋体" w:cs="宋体"/>
                <w:snapToGrid w:val="0"/>
                <w:kern w:val="0"/>
                <w:szCs w:val="21"/>
              </w:rPr>
              <w:t>和回放</w:t>
            </w:r>
          </w:p>
        </w:tc>
        <w:tc>
          <w:tcPr>
            <w:tcW w:w="4079" w:type="pct"/>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支持按通道号、录像类型、文件类型、起止时间等条件</w:t>
            </w:r>
          </w:p>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进行录像检索和回放；</w:t>
            </w:r>
            <w:r>
              <w:rPr>
                <w:rFonts w:ascii="宋体" w:hAnsi="宋体" w:cs="宋体"/>
                <w:snapToGrid w:val="0"/>
                <w:kern w:val="0"/>
                <w:szCs w:val="21"/>
              </w:rPr>
              <w:t>支持</w:t>
            </w:r>
            <w:r>
              <w:rPr>
                <w:rFonts w:hint="eastAsia" w:ascii="宋体" w:hAnsi="宋体" w:cs="宋体"/>
                <w:snapToGrid w:val="0"/>
                <w:kern w:val="0"/>
                <w:szCs w:val="21"/>
              </w:rPr>
              <w:t>录像文件智能检索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21" w:type="pct"/>
            <w:tcBorders>
              <w:left w:val="single" w:color="auto" w:sz="4" w:space="0"/>
              <w:bottom w:val="single" w:color="auto" w:sz="4" w:space="0"/>
            </w:tcBorders>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语言种类</w:t>
            </w:r>
          </w:p>
        </w:tc>
        <w:tc>
          <w:tcPr>
            <w:tcW w:w="4079" w:type="pct"/>
            <w:tcBorders>
              <w:bottom w:val="single" w:color="auto" w:sz="4" w:space="0"/>
            </w:tcBorders>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2"/>
            <w:tcBorders>
              <w:left w:val="single" w:color="auto" w:sz="4" w:space="0"/>
            </w:tcBorders>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接口性能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21" w:type="pct"/>
            <w:vAlign w:val="center"/>
          </w:tcPr>
          <w:p>
            <w:pPr>
              <w:adjustRightInd w:val="0"/>
              <w:snapToGrid w:val="0"/>
              <w:jc w:val="center"/>
              <w:textAlignment w:val="baseline"/>
              <w:rPr>
                <w:rFonts w:ascii="宋体" w:hAnsi="宋体" w:cs="宋体"/>
                <w:snapToGrid w:val="0"/>
                <w:kern w:val="0"/>
                <w:szCs w:val="21"/>
              </w:rPr>
            </w:pPr>
            <w:r>
              <w:rPr>
                <w:rFonts w:hint="eastAsia" w:ascii="宋体" w:hAnsi="宋体" w:cs="宋体"/>
                <w:snapToGrid w:val="0"/>
                <w:kern w:val="0"/>
                <w:szCs w:val="21"/>
              </w:rPr>
              <w:t>视频</w:t>
            </w:r>
            <w:r>
              <w:rPr>
                <w:rFonts w:ascii="宋体" w:hAnsi="宋体" w:cs="宋体"/>
                <w:snapToGrid w:val="0"/>
                <w:kern w:val="0"/>
                <w:szCs w:val="21"/>
              </w:rPr>
              <w:t>输出接口</w:t>
            </w:r>
          </w:p>
        </w:tc>
        <w:tc>
          <w:tcPr>
            <w:tcW w:w="4079" w:type="pct"/>
            <w:vAlign w:val="center"/>
          </w:tcPr>
          <w:p>
            <w:pPr>
              <w:adjustRightInd w:val="0"/>
              <w:snapToGrid w:val="0"/>
              <w:jc w:val="center"/>
              <w:textAlignment w:val="baseline"/>
              <w:rPr>
                <w:rFonts w:ascii="宋体" w:hAnsi="宋体" w:cs="宋体"/>
                <w:snapToGrid w:val="0"/>
                <w:kern w:val="0"/>
                <w:szCs w:val="21"/>
              </w:rPr>
            </w:pPr>
            <w:r>
              <w:rPr>
                <w:rFonts w:hint="eastAsia" w:ascii="宋体" w:hAnsi="宋体" w:cs="宋体"/>
                <w:snapToGrid w:val="0"/>
                <w:kern w:val="0"/>
                <w:szCs w:val="21"/>
              </w:rPr>
              <w:t>2个HDMI+1个VGA+1个BNC视频输出，HDMI1/VGA/BNC和HDMI2非同源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21" w:type="pct"/>
            <w:vAlign w:val="center"/>
          </w:tcPr>
          <w:p>
            <w:pPr>
              <w:adjustRightInd w:val="0"/>
              <w:snapToGrid w:val="0"/>
              <w:jc w:val="center"/>
              <w:textAlignment w:val="baseline"/>
              <w:rPr>
                <w:rFonts w:ascii="宋体" w:hAnsi="宋体" w:cs="宋体"/>
                <w:snapToGrid w:val="0"/>
                <w:kern w:val="0"/>
                <w:szCs w:val="21"/>
              </w:rPr>
            </w:pPr>
            <w:r>
              <w:rPr>
                <w:rFonts w:hint="eastAsia" w:ascii="宋体" w:hAnsi="宋体" w:cs="宋体"/>
                <w:snapToGrid w:val="0"/>
                <w:kern w:val="0"/>
                <w:szCs w:val="21"/>
              </w:rPr>
              <w:t>网络接口</w:t>
            </w:r>
          </w:p>
        </w:tc>
        <w:tc>
          <w:tcPr>
            <w:tcW w:w="4079" w:type="pct"/>
            <w:vAlign w:val="center"/>
          </w:tcPr>
          <w:p>
            <w:pPr>
              <w:adjustRightInd w:val="0"/>
              <w:snapToGrid w:val="0"/>
              <w:jc w:val="center"/>
              <w:textAlignment w:val="baseline"/>
              <w:rPr>
                <w:rFonts w:ascii="宋体" w:hAnsi="宋体" w:cs="宋体"/>
                <w:snapToGrid w:val="0"/>
                <w:kern w:val="0"/>
                <w:szCs w:val="21"/>
              </w:rPr>
            </w:pPr>
            <w:r>
              <w:rPr>
                <w:rFonts w:hint="eastAsia" w:ascii="宋体" w:hAnsi="宋体" w:cs="宋体"/>
                <w:snapToGrid w:val="0"/>
                <w:kern w:val="0"/>
                <w:szCs w:val="21"/>
              </w:rPr>
              <w:t>2个，</w:t>
            </w:r>
            <w:r>
              <w:rPr>
                <w:rFonts w:hint="eastAsia" w:ascii="宋体" w:hAnsi="宋体"/>
                <w:snapToGrid w:val="0"/>
                <w:kern w:val="0"/>
                <w:szCs w:val="21"/>
              </w:rPr>
              <w:t>100M/</w:t>
            </w:r>
            <w:r>
              <w:rPr>
                <w:rFonts w:ascii="宋体" w:hAnsi="宋体"/>
                <w:snapToGrid w:val="0"/>
                <w:kern w:val="0"/>
                <w:szCs w:val="21"/>
              </w:rPr>
              <w:t>1000M以太网口</w:t>
            </w:r>
            <w:r>
              <w:rPr>
                <w:rFonts w:hint="eastAsia" w:ascii="宋体" w:hAnsi="宋体"/>
                <w:snapToGrid w:val="0"/>
                <w:kern w:val="0"/>
                <w:szCs w:val="21"/>
              </w:rPr>
              <w:t>，支持聚合冗余、负载均衡、双IP工作模式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2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报警输入</w:t>
            </w:r>
          </w:p>
        </w:tc>
        <w:tc>
          <w:tcPr>
            <w:tcW w:w="407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16路，开关量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2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报警输出</w:t>
            </w:r>
          </w:p>
        </w:tc>
        <w:tc>
          <w:tcPr>
            <w:tcW w:w="407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4路，开关量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2"/>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网络管理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21" w:type="pct"/>
            <w:vAlign w:val="center"/>
          </w:tcPr>
          <w:p>
            <w:pPr>
              <w:adjustRightInd w:val="0"/>
              <w:snapToGrid w:val="0"/>
              <w:jc w:val="center"/>
              <w:textAlignment w:val="baseline"/>
              <w:rPr>
                <w:rFonts w:ascii="宋体" w:hAnsi="宋体" w:cs="宋体"/>
                <w:snapToGrid w:val="0"/>
                <w:kern w:val="0"/>
                <w:szCs w:val="21"/>
              </w:rPr>
            </w:pPr>
            <w:r>
              <w:rPr>
                <w:rFonts w:hint="eastAsia" w:ascii="宋体" w:hAnsi="宋体" w:cs="宋体"/>
                <w:snapToGrid w:val="0"/>
                <w:kern w:val="0"/>
                <w:szCs w:val="21"/>
              </w:rPr>
              <w:t>网络协议</w:t>
            </w:r>
          </w:p>
        </w:tc>
        <w:tc>
          <w:tcPr>
            <w:tcW w:w="4079" w:type="pct"/>
            <w:vAlign w:val="center"/>
          </w:tcPr>
          <w:p>
            <w:pPr>
              <w:adjustRightInd w:val="0"/>
              <w:snapToGrid w:val="0"/>
              <w:jc w:val="center"/>
              <w:textAlignment w:val="baseline"/>
              <w:rPr>
                <w:rFonts w:ascii="宋体" w:hAnsi="宋体" w:cs="宋体"/>
                <w:snapToGrid w:val="0"/>
                <w:kern w:val="0"/>
                <w:szCs w:val="21"/>
              </w:rPr>
            </w:pPr>
            <w:r>
              <w:rPr>
                <w:rFonts w:ascii="宋体" w:hAnsi="宋体" w:cs="宋体"/>
                <w:snapToGrid w:val="0"/>
                <w:kern w:val="0"/>
                <w:szCs w:val="21"/>
              </w:rPr>
              <w:t>TCP/UDP/HTTP/MULTICAST/UPnP</w:t>
            </w:r>
            <w:r>
              <w:rPr>
                <w:rFonts w:hint="eastAsia" w:ascii="宋体" w:hAnsi="宋体" w:cs="宋体"/>
                <w:snapToGrid w:val="0"/>
                <w:kern w:val="0"/>
                <w:szCs w:val="21"/>
              </w:rPr>
              <w:t>/DHCP/PPPoE/DDNS</w:t>
            </w:r>
          </w:p>
          <w:p>
            <w:pPr>
              <w:adjustRightInd w:val="0"/>
              <w:snapToGrid w:val="0"/>
              <w:jc w:val="center"/>
              <w:textAlignment w:val="baseline"/>
              <w:rPr>
                <w:rFonts w:ascii="宋体" w:hAnsi="宋体"/>
                <w:snapToGrid w:val="0"/>
                <w:kern w:val="0"/>
                <w:szCs w:val="21"/>
                <w:highlight w:val="yellow"/>
              </w:rPr>
            </w:pPr>
            <w:r>
              <w:rPr>
                <w:rFonts w:hint="eastAsia" w:ascii="宋体" w:hAnsi="宋体" w:cs="宋体"/>
                <w:snapToGrid w:val="0"/>
                <w:kern w:val="0"/>
                <w:szCs w:val="21"/>
              </w:rPr>
              <w:t>/NFS/FTP/NTP/HTTPS/RTSP</w:t>
            </w:r>
            <w:r>
              <w:rPr>
                <w:rFonts w:ascii="宋体" w:hAnsi="宋体" w:cs="宋体"/>
                <w:snapToGrid w:val="0"/>
                <w:kern w:val="0"/>
                <w:szCs w:val="21"/>
              </w:rPr>
              <w:t>/S</w:t>
            </w:r>
            <w:r>
              <w:rPr>
                <w:rFonts w:hint="eastAsia" w:ascii="宋体" w:hAnsi="宋体" w:cs="宋体"/>
                <w:snapToGrid w:val="0"/>
                <w:kern w:val="0"/>
                <w:szCs w:val="21"/>
              </w:rPr>
              <w:t>MTP/SADP</w:t>
            </w:r>
            <w:r>
              <w:rPr>
                <w:rFonts w:ascii="宋体" w:hAnsi="宋体" w:cs="宋体"/>
                <w:snapToGrid w:val="0"/>
                <w:kern w:val="0"/>
                <w:szCs w:val="21"/>
              </w:rPr>
              <w:t>/SNMP</w:t>
            </w:r>
            <w:r>
              <w:rPr>
                <w:rFonts w:hint="eastAsia" w:ascii="宋体" w:hAnsi="宋体" w:cs="宋体"/>
                <w:snapToGrid w:val="0"/>
                <w:kern w:val="0"/>
                <w:szCs w:val="21"/>
              </w:rPr>
              <w:t>等协议</w:t>
            </w:r>
          </w:p>
        </w:tc>
      </w:tr>
    </w:tbl>
    <w:p>
      <w:pPr>
        <w:adjustRightInd w:val="0"/>
        <w:snapToGrid w:val="0"/>
        <w:spacing w:line="400" w:lineRule="exact"/>
        <w:ind w:firstLine="480" w:firstLineChars="200"/>
        <w:rPr>
          <w:rFonts w:hint="eastAsia" w:ascii="宋体" w:hAnsi="宋体"/>
          <w:snapToGrid w:val="0"/>
          <w:kern w:val="0"/>
          <w:sz w:val="24"/>
          <w:szCs w:val="24"/>
        </w:rPr>
      </w:pPr>
      <w:bookmarkStart w:id="179" w:name="_Toc31791929"/>
      <w:bookmarkStart w:id="180" w:name="_Toc215573661"/>
      <w:r>
        <w:rPr>
          <w:rFonts w:hint="eastAsia" w:ascii="宋体" w:hAnsi="宋体"/>
          <w:snapToGrid w:val="0"/>
          <w:kern w:val="0"/>
          <w:sz w:val="24"/>
          <w:szCs w:val="24"/>
        </w:rPr>
        <w:t>2.1.3  摄像机</w:t>
      </w:r>
      <w:bookmarkEnd w:id="179"/>
    </w:p>
    <w:p>
      <w:pPr>
        <w:adjustRightInd w:val="0"/>
        <w:snapToGrid w:val="0"/>
        <w:spacing w:line="400" w:lineRule="atLeast"/>
        <w:ind w:firstLine="480" w:firstLineChars="200"/>
        <w:rPr>
          <w:rFonts w:ascii="宋体" w:hAnsi="宋体" w:cs="宋体"/>
          <w:snapToGrid w:val="0"/>
          <w:kern w:val="0"/>
          <w:sz w:val="24"/>
          <w:lang w:val="zh-CN"/>
        </w:rPr>
      </w:pPr>
      <w:r>
        <w:rPr>
          <w:rFonts w:hint="eastAsia" w:ascii="宋体" w:hAnsi="宋体" w:cs="宋体"/>
          <w:snapToGrid w:val="0"/>
          <w:kern w:val="0"/>
          <w:sz w:val="24"/>
          <w:lang w:val="zh-CN"/>
        </w:rPr>
        <w:t>（1）高清网络智能球机</w:t>
      </w:r>
    </w:p>
    <w:p>
      <w:pPr>
        <w:adjustRightInd w:val="0"/>
        <w:snapToGrid w:val="0"/>
        <w:spacing w:line="440" w:lineRule="atLeast"/>
        <w:ind w:firstLine="480" w:firstLineChars="200"/>
        <w:rPr>
          <w:rFonts w:cs="宋体"/>
          <w:snapToGrid w:val="0"/>
          <w:kern w:val="0"/>
          <w:sz w:val="24"/>
          <w:lang w:val="zh-CN"/>
        </w:rPr>
      </w:pPr>
    </w:p>
    <w:tbl>
      <w:tblPr>
        <w:tblStyle w:val="68"/>
        <w:tblW w:w="5000" w:type="pct"/>
        <w:tblInd w:w="0" w:type="dxa"/>
        <w:tblLayout w:type="autofit"/>
        <w:tblCellMar>
          <w:top w:w="0" w:type="dxa"/>
          <w:left w:w="108" w:type="dxa"/>
          <w:bottom w:w="0" w:type="dxa"/>
          <w:right w:w="108" w:type="dxa"/>
        </w:tblCellMar>
      </w:tblPr>
      <w:tblGrid>
        <w:gridCol w:w="829"/>
        <w:gridCol w:w="1928"/>
        <w:gridCol w:w="6865"/>
      </w:tblGrid>
      <w:tr>
        <w:tblPrEx>
          <w:tblCellMar>
            <w:top w:w="0" w:type="dxa"/>
            <w:left w:w="108" w:type="dxa"/>
            <w:bottom w:w="0" w:type="dxa"/>
            <w:right w:w="108" w:type="dxa"/>
          </w:tblCellMar>
        </w:tblPrEx>
        <w:trPr>
          <w:cantSplit/>
          <w:tblHeader/>
        </w:trPr>
        <w:tc>
          <w:tcPr>
            <w:tcW w:w="43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ascii="宋体" w:hAnsi="宋体" w:cs="Tahoma"/>
                <w:bCs/>
                <w:snapToGrid w:val="0"/>
                <w:kern w:val="0"/>
                <w:szCs w:val="21"/>
              </w:rPr>
            </w:pPr>
            <w:r>
              <w:rPr>
                <w:rFonts w:ascii="宋体" w:hAnsi="宋体" w:cs="Tahoma"/>
                <w:bCs/>
                <w:snapToGrid w:val="0"/>
                <w:kern w:val="0"/>
                <w:szCs w:val="21"/>
              </w:rPr>
              <w:t>参数分类</w:t>
            </w:r>
          </w:p>
        </w:tc>
        <w:tc>
          <w:tcPr>
            <w:tcW w:w="1002" w:type="pct"/>
            <w:tcBorders>
              <w:top w:val="single" w:color="auto" w:sz="4" w:space="0"/>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bCs/>
                <w:snapToGrid w:val="0"/>
                <w:kern w:val="0"/>
                <w:szCs w:val="21"/>
              </w:rPr>
            </w:pPr>
            <w:r>
              <w:rPr>
                <w:rFonts w:ascii="宋体" w:hAnsi="宋体" w:cs="Tahoma"/>
                <w:bCs/>
                <w:snapToGrid w:val="0"/>
                <w:kern w:val="0"/>
                <w:szCs w:val="21"/>
              </w:rPr>
              <w:t>参数</w:t>
            </w:r>
          </w:p>
        </w:tc>
        <w:tc>
          <w:tcPr>
            <w:tcW w:w="3567" w:type="pct"/>
            <w:tcBorders>
              <w:top w:val="single" w:color="auto" w:sz="4" w:space="0"/>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bCs/>
                <w:snapToGrid w:val="0"/>
                <w:kern w:val="0"/>
                <w:szCs w:val="21"/>
              </w:rPr>
            </w:pPr>
            <w:r>
              <w:rPr>
                <w:rFonts w:ascii="宋体" w:hAnsi="宋体" w:cs="Tahoma"/>
                <w:bCs/>
                <w:snapToGrid w:val="0"/>
                <w:kern w:val="0"/>
                <w:szCs w:val="21"/>
              </w:rPr>
              <w:t>参数值</w:t>
            </w:r>
          </w:p>
        </w:tc>
      </w:tr>
      <w:tr>
        <w:tblPrEx>
          <w:tblCellMar>
            <w:top w:w="0" w:type="dxa"/>
            <w:left w:w="108" w:type="dxa"/>
            <w:bottom w:w="0" w:type="dxa"/>
            <w:right w:w="108" w:type="dxa"/>
          </w:tblCellMar>
        </w:tblPrEx>
        <w:trPr>
          <w:cantSplit/>
        </w:trPr>
        <w:tc>
          <w:tcPr>
            <w:tcW w:w="431" w:type="pct"/>
            <w:vMerge w:val="restart"/>
            <w:tcBorders>
              <w:top w:val="nil"/>
              <w:left w:val="single" w:color="auto" w:sz="4" w:space="0"/>
              <w:bottom w:val="single" w:color="auto" w:sz="4" w:space="0"/>
              <w:right w:val="single" w:color="auto" w:sz="4" w:space="0"/>
            </w:tcBorders>
            <w:shd w:val="clear" w:color="auto" w:fill="auto"/>
            <w:vAlign w:val="center"/>
          </w:tcPr>
          <w:p>
            <w:pPr>
              <w:adjustRightInd w:val="0"/>
              <w:snapToGrid w:val="0"/>
              <w:jc w:val="center"/>
              <w:rPr>
                <w:rFonts w:ascii="宋体" w:hAnsi="宋体" w:cs="Tahoma"/>
                <w:bCs/>
                <w:snapToGrid w:val="0"/>
                <w:kern w:val="0"/>
                <w:szCs w:val="21"/>
              </w:rPr>
            </w:pPr>
            <w:r>
              <w:rPr>
                <w:rFonts w:ascii="宋体" w:hAnsi="宋体" w:cs="Tahoma"/>
                <w:bCs/>
                <w:snapToGrid w:val="0"/>
                <w:kern w:val="0"/>
                <w:szCs w:val="21"/>
              </w:rPr>
              <w:t>摄像机</w:t>
            </w: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图像传感器</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1/3英寸 CMOS</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传感器总像素</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约130万像素</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水平解析度</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≥750TVL(1280×960)≥700TVL(1280×720)</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最大图像尺寸</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1280×960</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vMerge w:val="restart"/>
            <w:tcBorders>
              <w:top w:val="nil"/>
              <w:left w:val="single" w:color="auto" w:sz="4" w:space="0"/>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最低照度</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彩色：0.05Lux@F1.4</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snapToGrid w:val="0"/>
                <w:kern w:val="0"/>
                <w:szCs w:val="21"/>
              </w:rPr>
            </w:pP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黑白：0.005Lux@F1.4</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snapToGrid w:val="0"/>
                <w:kern w:val="0"/>
                <w:szCs w:val="21"/>
              </w:rPr>
            </w:pP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0Lux（红外灯开启）</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增益控制</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自动/手动</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3D降噪</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支持</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2D降噪</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支持</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信噪比</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≥55dB</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白平衡</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自动/手动/跟踪/室外/室内/室外自动/钠灯自动/钠灯</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电子快门</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1/1～1/30000s</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电子防抖</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支持</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透雾功能</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支持</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背光补偿</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支持</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宽动态</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支持</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强光抑制</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支持</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数字变倍</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16倍</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日夜模式</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自动ICR滤光片彩转黑</w:t>
            </w:r>
          </w:p>
        </w:tc>
      </w:tr>
      <w:tr>
        <w:tblPrEx>
          <w:tblCellMar>
            <w:top w:w="0" w:type="dxa"/>
            <w:left w:w="108" w:type="dxa"/>
            <w:bottom w:w="0" w:type="dxa"/>
            <w:right w:w="108" w:type="dxa"/>
          </w:tblCellMar>
        </w:tblPrEx>
        <w:trPr>
          <w:cantSplit/>
        </w:trPr>
        <w:tc>
          <w:tcPr>
            <w:tcW w:w="431" w:type="pct"/>
            <w:vMerge w:val="restart"/>
            <w:tcBorders>
              <w:top w:val="nil"/>
              <w:left w:val="single" w:color="auto" w:sz="4" w:space="0"/>
              <w:bottom w:val="single" w:color="auto" w:sz="4" w:space="0"/>
              <w:right w:val="single" w:color="auto" w:sz="4" w:space="0"/>
            </w:tcBorders>
            <w:shd w:val="clear" w:color="auto" w:fill="auto"/>
            <w:vAlign w:val="center"/>
          </w:tcPr>
          <w:p>
            <w:pPr>
              <w:adjustRightInd w:val="0"/>
              <w:snapToGrid w:val="0"/>
              <w:jc w:val="center"/>
              <w:rPr>
                <w:rFonts w:ascii="宋体" w:hAnsi="宋体" w:cs="Tahoma"/>
                <w:bCs/>
                <w:snapToGrid w:val="0"/>
                <w:kern w:val="0"/>
                <w:szCs w:val="21"/>
              </w:rPr>
            </w:pPr>
            <w:r>
              <w:rPr>
                <w:rFonts w:ascii="宋体" w:hAnsi="宋体" w:cs="Tahoma"/>
                <w:bCs/>
                <w:snapToGrid w:val="0"/>
                <w:kern w:val="0"/>
                <w:szCs w:val="21"/>
              </w:rPr>
              <w:t>镜头参数</w:t>
            </w: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聚焦模式</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自动/半自动/手动</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焦距</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4.7mm～94mm</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变倍速度</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约3s</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视场角</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水平：54.1°～3.2°（近焦到远焦）</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近摄距</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100mm～1000mm（近焦到远焦）</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光学变倍</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20倍</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光圈值</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F1.4～F2.6</w:t>
            </w:r>
          </w:p>
        </w:tc>
      </w:tr>
      <w:tr>
        <w:tblPrEx>
          <w:tblCellMar>
            <w:top w:w="0" w:type="dxa"/>
            <w:left w:w="108" w:type="dxa"/>
            <w:bottom w:w="0" w:type="dxa"/>
            <w:right w:w="108" w:type="dxa"/>
          </w:tblCellMar>
        </w:tblPrEx>
        <w:trPr>
          <w:cantSplit/>
        </w:trPr>
        <w:tc>
          <w:tcPr>
            <w:tcW w:w="431" w:type="pct"/>
            <w:vMerge w:val="restart"/>
            <w:tcBorders>
              <w:top w:val="nil"/>
              <w:left w:val="single" w:color="auto" w:sz="4" w:space="0"/>
              <w:bottom w:val="single" w:color="auto" w:sz="4" w:space="0"/>
              <w:right w:val="single" w:color="auto" w:sz="4" w:space="0"/>
            </w:tcBorders>
            <w:shd w:val="clear" w:color="auto" w:fill="auto"/>
            <w:vAlign w:val="center"/>
          </w:tcPr>
          <w:p>
            <w:pPr>
              <w:adjustRightInd w:val="0"/>
              <w:snapToGrid w:val="0"/>
              <w:jc w:val="center"/>
              <w:rPr>
                <w:rFonts w:ascii="宋体" w:hAnsi="宋体" w:cs="Tahoma"/>
                <w:bCs/>
                <w:snapToGrid w:val="0"/>
                <w:kern w:val="0"/>
                <w:szCs w:val="21"/>
              </w:rPr>
            </w:pPr>
            <w:r>
              <w:rPr>
                <w:rFonts w:ascii="宋体" w:hAnsi="宋体" w:cs="Tahoma"/>
                <w:bCs/>
                <w:snapToGrid w:val="0"/>
                <w:kern w:val="0"/>
                <w:szCs w:val="21"/>
              </w:rPr>
              <w:t>功能</w:t>
            </w: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全景云台</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支持</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补光方式</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红外</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补光控制</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倍率优先/手动（近灯、远灯）</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补光距离</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≥180m</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补光角度</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根据焦距可变</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水平范围</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0°～360°连续旋转</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垂直范围</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-10°～90° 自动翻转180°后连续监视</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键控速度</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水平：0.1°～200°/s 垂直：0.1°～120°/s</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vMerge w:val="restart"/>
            <w:tcBorders>
              <w:top w:val="nil"/>
              <w:left w:val="single" w:color="auto" w:sz="4" w:space="0"/>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调用预置点速度</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水平：240°/s</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snapToGrid w:val="0"/>
                <w:kern w:val="0"/>
                <w:szCs w:val="21"/>
              </w:rPr>
            </w:pP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垂直：200°/s</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长焦限速</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支持</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预置点</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300个</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自动巡航</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8条, 每条可添加32个预置点</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自动巡迹</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5条</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自动线扫</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5条</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断电记忆</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支持</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隐私遮挡</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最多24块区域,同时最多有8块区域在同一个画面</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空闲动作</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预置点 / 自动巡迹 / 自动巡航 / 水平线扫</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定时任务</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预置点 / 自动巡迹 / 自动巡航 / 水平线扫</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方位角信息显示</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支持</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预置点视频冻结</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支持</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云台功能</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支持空闲动作，支持FD三维定位，支持人性化的焦距/速度自动匹配功能</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信息显示</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支持</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主码流分辨率及帧率</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50Hz:25fps(1280×960)、25fps(1280×720)、50fps(1280×720)60Hz:30fps(1280×960)、</w:t>
            </w:r>
          </w:p>
          <w:p>
            <w:pPr>
              <w:adjustRightInd w:val="0"/>
              <w:snapToGrid w:val="0"/>
              <w:jc w:val="center"/>
              <w:rPr>
                <w:rFonts w:ascii="宋体" w:hAnsi="宋体" w:cs="Tahoma"/>
                <w:snapToGrid w:val="0"/>
                <w:kern w:val="0"/>
                <w:szCs w:val="21"/>
              </w:rPr>
            </w:pPr>
            <w:r>
              <w:rPr>
                <w:rFonts w:ascii="宋体" w:hAnsi="宋体" w:cs="Tahoma"/>
                <w:snapToGrid w:val="0"/>
                <w:kern w:val="0"/>
                <w:szCs w:val="21"/>
              </w:rPr>
              <w:t>30fps(1280×720)、60fps(1280×720)</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子码流分辨率及帧率</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50Hz:25fps(704×576)、25fps(352×288)、50fps(704×576)、</w:t>
            </w:r>
          </w:p>
          <w:p>
            <w:pPr>
              <w:adjustRightInd w:val="0"/>
              <w:snapToGrid w:val="0"/>
              <w:jc w:val="center"/>
              <w:rPr>
                <w:rFonts w:ascii="宋体" w:hAnsi="宋体" w:cs="Tahoma"/>
                <w:snapToGrid w:val="0"/>
                <w:kern w:val="0"/>
                <w:szCs w:val="21"/>
              </w:rPr>
            </w:pPr>
            <w:r>
              <w:rPr>
                <w:rFonts w:ascii="宋体" w:hAnsi="宋体" w:cs="Tahoma"/>
                <w:snapToGrid w:val="0"/>
                <w:kern w:val="0"/>
                <w:szCs w:val="21"/>
              </w:rPr>
              <w:t>50fps(352×288)60Hz:30fps(704×480)、</w:t>
            </w:r>
          </w:p>
          <w:p>
            <w:pPr>
              <w:adjustRightInd w:val="0"/>
              <w:snapToGrid w:val="0"/>
              <w:jc w:val="center"/>
              <w:rPr>
                <w:rFonts w:ascii="宋体" w:hAnsi="宋体" w:cs="Tahoma"/>
                <w:snapToGrid w:val="0"/>
                <w:kern w:val="0"/>
                <w:szCs w:val="21"/>
              </w:rPr>
            </w:pPr>
            <w:r>
              <w:rPr>
                <w:rFonts w:ascii="宋体" w:hAnsi="宋体" w:cs="Tahoma"/>
                <w:snapToGrid w:val="0"/>
                <w:kern w:val="0"/>
                <w:szCs w:val="21"/>
              </w:rPr>
              <w:t>30fps(352×240)、60fps(704×480)、60fps(352×240)</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第三码流分辨率及帧率</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50Hz:25fps(1280×720)、50fps(1280×720)、25fps(704×576)、</w:t>
            </w:r>
          </w:p>
          <w:p>
            <w:pPr>
              <w:adjustRightInd w:val="0"/>
              <w:snapToGrid w:val="0"/>
              <w:jc w:val="center"/>
              <w:rPr>
                <w:rFonts w:ascii="宋体" w:hAnsi="宋体" w:cs="Tahoma"/>
                <w:snapToGrid w:val="0"/>
                <w:kern w:val="0"/>
                <w:szCs w:val="21"/>
              </w:rPr>
            </w:pPr>
            <w:r>
              <w:rPr>
                <w:rFonts w:ascii="宋体" w:hAnsi="宋体" w:cs="Tahoma"/>
                <w:snapToGrid w:val="0"/>
                <w:kern w:val="0"/>
                <w:szCs w:val="21"/>
              </w:rPr>
              <w:t>25fps(352×288)、50fps(704×576)、50fps(352×288)60Hz:</w:t>
            </w:r>
          </w:p>
          <w:p>
            <w:pPr>
              <w:adjustRightInd w:val="0"/>
              <w:snapToGrid w:val="0"/>
              <w:jc w:val="center"/>
              <w:rPr>
                <w:rFonts w:ascii="宋体" w:hAnsi="宋体" w:cs="Tahoma"/>
                <w:snapToGrid w:val="0"/>
                <w:kern w:val="0"/>
                <w:szCs w:val="21"/>
              </w:rPr>
            </w:pPr>
            <w:r>
              <w:rPr>
                <w:rFonts w:ascii="宋体" w:hAnsi="宋体" w:cs="Tahoma"/>
                <w:snapToGrid w:val="0"/>
                <w:kern w:val="0"/>
                <w:szCs w:val="21"/>
              </w:rPr>
              <w:t>30fps(1280×720)、60fps(1280×720)、30fps(704×480)、30fps(352×240)、</w:t>
            </w:r>
          </w:p>
          <w:p>
            <w:pPr>
              <w:adjustRightInd w:val="0"/>
              <w:snapToGrid w:val="0"/>
              <w:jc w:val="center"/>
              <w:rPr>
                <w:rFonts w:ascii="宋体" w:hAnsi="宋体" w:cs="Tahoma"/>
                <w:snapToGrid w:val="0"/>
                <w:kern w:val="0"/>
                <w:szCs w:val="21"/>
              </w:rPr>
            </w:pPr>
            <w:r>
              <w:rPr>
                <w:rFonts w:ascii="宋体" w:hAnsi="宋体" w:cs="Tahoma"/>
                <w:snapToGrid w:val="0"/>
                <w:kern w:val="0"/>
                <w:szCs w:val="21"/>
              </w:rPr>
              <w:t>60fps(704×480)、60fps(352×240)</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视频压缩</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H.264BaselineProfile/H.264MainProfile/H.264HighProfile/M-JPEG</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音频压缩</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G.711a/G.711mu</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语音对讲</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支持</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网络协议</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IPv4/IPv6,HTTP,HTTPS,802.1x,Qos,FTP,SMTP,UPnP,SNMP,DNS,DDNS,</w:t>
            </w:r>
          </w:p>
          <w:p>
            <w:pPr>
              <w:adjustRightInd w:val="0"/>
              <w:snapToGrid w:val="0"/>
              <w:jc w:val="center"/>
              <w:rPr>
                <w:rFonts w:ascii="宋体" w:hAnsi="宋体" w:cs="Tahoma"/>
                <w:snapToGrid w:val="0"/>
                <w:kern w:val="0"/>
                <w:szCs w:val="21"/>
              </w:rPr>
            </w:pPr>
            <w:r>
              <w:rPr>
                <w:rFonts w:ascii="宋体" w:hAnsi="宋体" w:cs="Tahoma"/>
                <w:snapToGrid w:val="0"/>
                <w:kern w:val="0"/>
                <w:szCs w:val="21"/>
              </w:rPr>
              <w:t>NTP,RTSP,RTP,TCP,UDP,IGMP,ICMP,DHCP,PPPoE</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ROI</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支持</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SVC</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支持</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区域聚焦</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支持</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OSD</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支持</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时间显示</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支持，如：星期，日期</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应用编程接口</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支持软件集成的开放式API，支持标准协议(Onvif、CGI、</w:t>
            </w:r>
          </w:p>
          <w:p>
            <w:pPr>
              <w:adjustRightInd w:val="0"/>
              <w:snapToGrid w:val="0"/>
              <w:jc w:val="center"/>
              <w:rPr>
                <w:rFonts w:ascii="宋体" w:hAnsi="宋体" w:cs="Tahoma"/>
                <w:snapToGrid w:val="0"/>
                <w:kern w:val="0"/>
                <w:szCs w:val="21"/>
              </w:rPr>
            </w:pPr>
            <w:r>
              <w:rPr>
                <w:rFonts w:ascii="宋体" w:hAnsi="宋体" w:cs="Tahoma"/>
                <w:snapToGrid w:val="0"/>
                <w:kern w:val="0"/>
                <w:szCs w:val="21"/>
              </w:rPr>
              <w:t>GB/T 28181)、支持大华SDK 和第三方管理平台接入</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浏览器</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支持IE7以上版本（包含IE7） 谷歌，火狐，苹果等非IE游览器</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同时预览用户数</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20路（总带宽64M）</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安全模式</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授权的用户名和密码，以及MAC 地址绑定；HTTPS</w:t>
            </w:r>
          </w:p>
          <w:p>
            <w:pPr>
              <w:adjustRightInd w:val="0"/>
              <w:snapToGrid w:val="0"/>
              <w:jc w:val="center"/>
              <w:rPr>
                <w:rFonts w:ascii="宋体" w:hAnsi="宋体" w:cs="Tahoma"/>
                <w:snapToGrid w:val="0"/>
                <w:kern w:val="0"/>
                <w:szCs w:val="21"/>
              </w:rPr>
            </w:pPr>
            <w:r>
              <w:rPr>
                <w:rFonts w:ascii="宋体" w:hAnsi="宋体" w:cs="Tahoma"/>
                <w:snapToGrid w:val="0"/>
                <w:kern w:val="0"/>
                <w:szCs w:val="21"/>
              </w:rPr>
              <w:t>加密；IEEE 802.1x 网络访问控制（白名单）</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用户管理</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多级用户权限管理</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智能检测</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视频动态/遮挡检测、音频检测、网络断开检测、IP冲突检测、</w:t>
            </w:r>
          </w:p>
          <w:p>
            <w:pPr>
              <w:adjustRightInd w:val="0"/>
              <w:snapToGrid w:val="0"/>
              <w:jc w:val="center"/>
              <w:rPr>
                <w:rFonts w:ascii="宋体" w:hAnsi="宋体" w:cs="Tahoma"/>
                <w:snapToGrid w:val="0"/>
                <w:kern w:val="0"/>
                <w:szCs w:val="21"/>
              </w:rPr>
            </w:pPr>
            <w:r>
              <w:rPr>
                <w:rFonts w:ascii="宋体" w:hAnsi="宋体" w:cs="Tahoma"/>
                <w:snapToGrid w:val="0"/>
                <w:kern w:val="0"/>
                <w:szCs w:val="21"/>
              </w:rPr>
              <w:t>编码器状态检测、存储卡状态检测、存储空间检测</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智能</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支持单场景跟踪、多场景跟踪、全景跟踪三种跟踪类型；支持手动跟</w:t>
            </w:r>
          </w:p>
          <w:p>
            <w:pPr>
              <w:adjustRightInd w:val="0"/>
              <w:snapToGrid w:val="0"/>
              <w:jc w:val="center"/>
              <w:rPr>
                <w:rFonts w:ascii="宋体" w:hAnsi="宋体" w:cs="Tahoma"/>
                <w:snapToGrid w:val="0"/>
                <w:kern w:val="0"/>
                <w:szCs w:val="21"/>
              </w:rPr>
            </w:pPr>
            <w:r>
              <w:rPr>
                <w:rFonts w:ascii="宋体" w:hAnsi="宋体" w:cs="Tahoma"/>
                <w:snapToGrid w:val="0"/>
                <w:kern w:val="0"/>
                <w:szCs w:val="21"/>
              </w:rPr>
              <w:t>踪和报警跟踪两种跟踪方式；支持绊线入侵、区域入侵、穿越围栏、</w:t>
            </w:r>
          </w:p>
          <w:p>
            <w:pPr>
              <w:adjustRightInd w:val="0"/>
              <w:snapToGrid w:val="0"/>
              <w:jc w:val="center"/>
              <w:rPr>
                <w:rFonts w:ascii="宋体" w:hAnsi="宋体" w:cs="Tahoma"/>
                <w:snapToGrid w:val="0"/>
                <w:kern w:val="0"/>
                <w:szCs w:val="21"/>
              </w:rPr>
            </w:pPr>
            <w:r>
              <w:rPr>
                <w:rFonts w:ascii="宋体" w:hAnsi="宋体" w:cs="Tahoma"/>
                <w:snapToGrid w:val="0"/>
                <w:kern w:val="0"/>
                <w:szCs w:val="21"/>
              </w:rPr>
              <w:t>徘徊检测、物品遗留、物品搬移、快速移动等多种行为检测；支持多</w:t>
            </w:r>
          </w:p>
          <w:p>
            <w:pPr>
              <w:adjustRightInd w:val="0"/>
              <w:snapToGrid w:val="0"/>
              <w:jc w:val="center"/>
              <w:rPr>
                <w:rFonts w:ascii="宋体" w:hAnsi="宋体" w:cs="Tahoma"/>
                <w:snapToGrid w:val="0"/>
                <w:kern w:val="0"/>
                <w:szCs w:val="21"/>
              </w:rPr>
            </w:pPr>
            <w:r>
              <w:rPr>
                <w:rFonts w:ascii="宋体" w:hAnsi="宋体" w:cs="Tahoma"/>
                <w:snapToGrid w:val="0"/>
                <w:kern w:val="0"/>
                <w:szCs w:val="21"/>
              </w:rPr>
              <w:t>种触发规则联动动作；支持目标过滤</w:t>
            </w:r>
          </w:p>
        </w:tc>
      </w:tr>
      <w:tr>
        <w:tblPrEx>
          <w:tblCellMar>
            <w:top w:w="0" w:type="dxa"/>
            <w:left w:w="108" w:type="dxa"/>
            <w:bottom w:w="0" w:type="dxa"/>
            <w:right w:w="108" w:type="dxa"/>
          </w:tblCellMar>
        </w:tblPrEx>
        <w:trPr>
          <w:cantSplit/>
        </w:trPr>
        <w:tc>
          <w:tcPr>
            <w:tcW w:w="431" w:type="pct"/>
            <w:vMerge w:val="restart"/>
            <w:tcBorders>
              <w:top w:val="nil"/>
              <w:left w:val="single" w:color="auto" w:sz="4" w:space="0"/>
              <w:bottom w:val="single" w:color="auto" w:sz="4" w:space="0"/>
              <w:right w:val="single" w:color="auto" w:sz="4" w:space="0"/>
            </w:tcBorders>
            <w:shd w:val="clear" w:color="auto" w:fill="auto"/>
            <w:vAlign w:val="center"/>
          </w:tcPr>
          <w:p>
            <w:pPr>
              <w:adjustRightInd w:val="0"/>
              <w:snapToGrid w:val="0"/>
              <w:jc w:val="center"/>
              <w:rPr>
                <w:rFonts w:ascii="宋体" w:hAnsi="宋体" w:cs="Tahoma"/>
                <w:bCs/>
                <w:snapToGrid w:val="0"/>
                <w:kern w:val="0"/>
                <w:szCs w:val="21"/>
              </w:rPr>
            </w:pPr>
            <w:r>
              <w:rPr>
                <w:rFonts w:ascii="宋体" w:hAnsi="宋体" w:cs="Tahoma"/>
                <w:bCs/>
                <w:snapToGrid w:val="0"/>
                <w:kern w:val="0"/>
                <w:szCs w:val="21"/>
              </w:rPr>
              <w:t>输入/输出</w:t>
            </w: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模拟接口</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1.0V[p-p] / 75Ω, PAL或NTSC, BNC头</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网络接口</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内置RJ45 网口，支持10M/100M 网络数据</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报警输入</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7 路开关量输入(0～5V DC)</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报警输出</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2 路，支持报警联动</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报警联动</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抓图/预置点/巡航/巡迹/SD 卡录像/触发开关量输出/客户端电子地图/发送邮件</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音频输入</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音频输入(LINE 输入)，音频峰值:2～2.4V[p-p]，输出阻抗:1kΩ±10%</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音频输出</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线性电平，阻抗:600Ω</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SD卡接口</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内置Micro-SD 卡插槽，支持SD/SDHC/SDXC （最大支持64G），</w:t>
            </w:r>
          </w:p>
          <w:p>
            <w:pPr>
              <w:adjustRightInd w:val="0"/>
              <w:snapToGrid w:val="0"/>
              <w:jc w:val="center"/>
              <w:rPr>
                <w:rFonts w:ascii="宋体" w:hAnsi="宋体" w:cs="Tahoma"/>
                <w:snapToGrid w:val="0"/>
                <w:kern w:val="0"/>
                <w:szCs w:val="21"/>
              </w:rPr>
            </w:pPr>
            <w:r>
              <w:rPr>
                <w:rFonts w:ascii="宋体" w:hAnsi="宋体" w:cs="Tahoma"/>
                <w:snapToGrid w:val="0"/>
                <w:kern w:val="0"/>
                <w:szCs w:val="21"/>
              </w:rPr>
              <w:t>可支持手动录像/报警录像，支持断网续传,录像不丢失</w:t>
            </w:r>
          </w:p>
        </w:tc>
      </w:tr>
      <w:tr>
        <w:tblPrEx>
          <w:tblCellMar>
            <w:top w:w="0" w:type="dxa"/>
            <w:left w:w="108" w:type="dxa"/>
            <w:bottom w:w="0" w:type="dxa"/>
            <w:right w:w="108" w:type="dxa"/>
          </w:tblCellMar>
        </w:tblPrEx>
        <w:trPr>
          <w:cantSplit/>
        </w:trPr>
        <w:tc>
          <w:tcPr>
            <w:tcW w:w="431" w:type="pct"/>
            <w:vMerge w:val="restart"/>
            <w:tcBorders>
              <w:top w:val="nil"/>
              <w:left w:val="single" w:color="auto" w:sz="4" w:space="0"/>
              <w:bottom w:val="single" w:color="auto" w:sz="4" w:space="0"/>
              <w:right w:val="single" w:color="auto" w:sz="4" w:space="0"/>
            </w:tcBorders>
            <w:shd w:val="clear" w:color="auto" w:fill="auto"/>
            <w:vAlign w:val="center"/>
          </w:tcPr>
          <w:p>
            <w:pPr>
              <w:adjustRightInd w:val="0"/>
              <w:snapToGrid w:val="0"/>
              <w:jc w:val="center"/>
              <w:rPr>
                <w:rFonts w:ascii="宋体" w:hAnsi="宋体" w:cs="Tahoma"/>
                <w:bCs/>
                <w:snapToGrid w:val="0"/>
                <w:kern w:val="0"/>
                <w:szCs w:val="21"/>
              </w:rPr>
            </w:pPr>
            <w:r>
              <w:rPr>
                <w:rFonts w:ascii="宋体" w:hAnsi="宋体" w:cs="Tahoma"/>
                <w:bCs/>
                <w:snapToGrid w:val="0"/>
                <w:kern w:val="0"/>
                <w:szCs w:val="21"/>
              </w:rPr>
              <w:t>一般规范</w:t>
            </w: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电源</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AC24V/3A （含红外控制电路）</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功耗</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20W/43W(红外灯、加热器开启）</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工作环境</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温度-40～70</w:t>
            </w:r>
            <w:r>
              <w:rPr>
                <w:rFonts w:ascii="宋体" w:hAnsi="宋体" w:cs="宋体"/>
                <w:snapToGrid w:val="0"/>
                <w:kern w:val="0"/>
                <w:szCs w:val="21"/>
              </w:rPr>
              <w:t>℃</w:t>
            </w:r>
            <w:r>
              <w:rPr>
                <w:rFonts w:ascii="宋体" w:hAnsi="宋体" w:cs="Tahoma"/>
                <w:snapToGrid w:val="0"/>
                <w:kern w:val="0"/>
                <w:szCs w:val="21"/>
              </w:rPr>
              <w:t>； 湿度＜95%</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防护等级</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IP66，TVS 6000V防雷、防浪涌和防突波保护，符合GB/T 17626.5 4级标准</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安装方式</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多种安装方式可选根据应用环境进行选择</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产品尺寸</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Φ252mm×385mm</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重量</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6.75kg</w:t>
            </w:r>
          </w:p>
        </w:tc>
      </w:tr>
      <w:tr>
        <w:tblPrEx>
          <w:tblCellMar>
            <w:top w:w="0" w:type="dxa"/>
            <w:left w:w="108" w:type="dxa"/>
            <w:bottom w:w="0" w:type="dxa"/>
            <w:right w:w="108" w:type="dxa"/>
          </w:tblCellMar>
        </w:tblPrEx>
        <w:trPr>
          <w:cantSplit/>
        </w:trPr>
        <w:tc>
          <w:tcPr>
            <w:tcW w:w="431" w:type="pct"/>
            <w:vMerge w:val="continue"/>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cs="Tahoma"/>
                <w:bCs/>
                <w:snapToGrid w:val="0"/>
                <w:kern w:val="0"/>
                <w:szCs w:val="21"/>
              </w:rPr>
            </w:pPr>
          </w:p>
        </w:tc>
        <w:tc>
          <w:tcPr>
            <w:tcW w:w="1002"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选配支架</w:t>
            </w:r>
          </w:p>
        </w:tc>
        <w:tc>
          <w:tcPr>
            <w:tcW w:w="3567" w:type="pct"/>
            <w:tcBorders>
              <w:top w:val="nil"/>
              <w:left w:val="nil"/>
              <w:bottom w:val="single" w:color="auto" w:sz="4" w:space="0"/>
              <w:right w:val="single" w:color="auto" w:sz="4" w:space="0"/>
            </w:tcBorders>
            <w:shd w:val="clear" w:color="auto" w:fill="auto"/>
            <w:vAlign w:val="center"/>
          </w:tcPr>
          <w:p>
            <w:pPr>
              <w:adjustRightInd w:val="0"/>
              <w:snapToGrid w:val="0"/>
              <w:jc w:val="center"/>
              <w:rPr>
                <w:rFonts w:ascii="宋体" w:hAnsi="宋体" w:cs="Tahoma"/>
                <w:snapToGrid w:val="0"/>
                <w:kern w:val="0"/>
                <w:szCs w:val="21"/>
              </w:rPr>
            </w:pPr>
            <w:r>
              <w:rPr>
                <w:rFonts w:ascii="宋体" w:hAnsi="宋体" w:cs="Tahoma"/>
                <w:snapToGrid w:val="0"/>
                <w:kern w:val="0"/>
                <w:szCs w:val="21"/>
              </w:rPr>
              <w:t>PFB303W(壁装,臂长255mm);PFB300C(吊装,延长杆200mm)</w:t>
            </w:r>
          </w:p>
        </w:tc>
      </w:tr>
    </w:tbl>
    <w:p>
      <w:pPr>
        <w:adjustRightInd w:val="0"/>
        <w:snapToGrid w:val="0"/>
        <w:spacing w:line="400" w:lineRule="atLeast"/>
        <w:ind w:firstLine="480" w:firstLineChars="200"/>
        <w:rPr>
          <w:rFonts w:ascii="宋体" w:hAnsi="宋体" w:cs="宋体"/>
          <w:snapToGrid w:val="0"/>
          <w:kern w:val="0"/>
          <w:sz w:val="24"/>
          <w:szCs w:val="24"/>
          <w:lang w:val="zh-CN"/>
        </w:rPr>
      </w:pPr>
      <w:r>
        <w:rPr>
          <w:rFonts w:hint="eastAsia" w:ascii="宋体" w:hAnsi="宋体" w:cs="宋体"/>
          <w:snapToGrid w:val="0"/>
          <w:kern w:val="0"/>
          <w:sz w:val="24"/>
          <w:szCs w:val="24"/>
          <w:lang w:val="zh-CN"/>
        </w:rPr>
        <w:t>（2）摄像机附件</w:t>
      </w:r>
    </w:p>
    <w:p>
      <w:pPr>
        <w:adjustRightInd w:val="0"/>
        <w:snapToGrid w:val="0"/>
        <w:spacing w:line="400" w:lineRule="atLeast"/>
        <w:ind w:firstLine="480" w:firstLineChars="200"/>
        <w:rPr>
          <w:rFonts w:ascii="宋体" w:hAnsi="宋体"/>
          <w:snapToGrid w:val="0"/>
          <w:kern w:val="0"/>
          <w:sz w:val="24"/>
          <w:szCs w:val="24"/>
        </w:rPr>
      </w:pPr>
      <w:r>
        <w:rPr>
          <w:rFonts w:hint="eastAsia" w:ascii="宋体" w:hAnsi="宋体"/>
          <w:snapToGrid w:val="0"/>
          <w:kern w:val="0"/>
          <w:sz w:val="24"/>
          <w:szCs w:val="24"/>
        </w:rPr>
        <w:t>室内外网络球形摄像机应自带电动云台、防护罩、加热器、电源等；网络高速云台摄像机应自带电动云台、防护罩、加热器、电源、自动雨刷等；所有摄像机的安装支架采用不锈钢材质，根据现场需要配置。摄像机到子交换机采用光纤传输，应配接发收器。摄像机附件应选用与摄像机配套产品。</w:t>
      </w:r>
    </w:p>
    <w:p>
      <w:pPr>
        <w:adjustRightInd w:val="0"/>
        <w:snapToGrid w:val="0"/>
        <w:spacing w:line="400" w:lineRule="atLeast"/>
        <w:ind w:firstLine="480" w:firstLineChars="200"/>
        <w:rPr>
          <w:rFonts w:ascii="宋体" w:hAnsi="宋体" w:cs="宋体"/>
          <w:snapToGrid w:val="0"/>
          <w:kern w:val="0"/>
          <w:sz w:val="24"/>
          <w:szCs w:val="24"/>
          <w:lang w:val="zh-CN"/>
        </w:rPr>
      </w:pPr>
      <w:r>
        <w:rPr>
          <w:rFonts w:hint="eastAsia" w:ascii="宋体" w:hAnsi="宋体" w:cs="宋体"/>
          <w:snapToGrid w:val="0"/>
          <w:kern w:val="0"/>
          <w:sz w:val="24"/>
          <w:szCs w:val="24"/>
          <w:lang w:val="zh-CN"/>
        </w:rPr>
        <w:t>（5）前端机箱</w:t>
      </w:r>
    </w:p>
    <w:p>
      <w:pPr>
        <w:pStyle w:val="99"/>
        <w:snapToGrid w:val="0"/>
        <w:spacing w:line="400" w:lineRule="atLeast"/>
        <w:ind w:firstLine="200"/>
        <w:jc w:val="both"/>
        <w:rPr>
          <w:rFonts w:ascii="宋体" w:hAnsi="宋体" w:eastAsia="宋体"/>
          <w:snapToGrid w:val="0"/>
          <w:sz w:val="24"/>
          <w:szCs w:val="24"/>
        </w:rPr>
      </w:pPr>
      <w:r>
        <w:rPr>
          <w:rFonts w:hint="eastAsia" w:ascii="宋体" w:hAnsi="宋体" w:eastAsia="宋体"/>
          <w:snapToGrid w:val="0"/>
          <w:sz w:val="24"/>
          <w:szCs w:val="24"/>
        </w:rPr>
        <w:t>卖方应为各个分区现地级设备提供相应的前端机箱，用于放置子交换机和电源转换装置（电站只提供AC 220V电源）等设备。</w:t>
      </w:r>
    </w:p>
    <w:p>
      <w:pPr>
        <w:pStyle w:val="99"/>
        <w:snapToGrid w:val="0"/>
        <w:spacing w:line="400" w:lineRule="atLeast"/>
        <w:ind w:firstLine="200"/>
        <w:jc w:val="both"/>
        <w:rPr>
          <w:rFonts w:ascii="宋体" w:hAnsi="宋体" w:eastAsia="宋体"/>
          <w:snapToGrid w:val="0"/>
          <w:sz w:val="24"/>
          <w:szCs w:val="24"/>
        </w:rPr>
      </w:pPr>
      <w:r>
        <w:rPr>
          <w:rFonts w:hint="eastAsia" w:ascii="宋体" w:hAnsi="宋体" w:eastAsia="宋体"/>
          <w:snapToGrid w:val="0"/>
          <w:sz w:val="24"/>
          <w:szCs w:val="24"/>
        </w:rPr>
        <w:t>室内前端机箱的防护等级为IP43，室外前端机箱的防护等级为IP55。前端机箱内部必须含温湿度控制装置，水电站配电箱采用不锈钢材质，防水防雾，含配电箱加热器，防止箱内雾化潮湿。</w:t>
      </w:r>
    </w:p>
    <w:p>
      <w:pPr>
        <w:adjustRightInd w:val="0"/>
        <w:snapToGrid w:val="0"/>
        <w:spacing w:line="400" w:lineRule="atLeast"/>
        <w:ind w:firstLine="480" w:firstLineChars="200"/>
        <w:rPr>
          <w:rFonts w:ascii="宋体" w:hAnsi="宋体" w:cs="宋体"/>
          <w:snapToGrid w:val="0"/>
          <w:kern w:val="0"/>
          <w:sz w:val="24"/>
          <w:szCs w:val="24"/>
          <w:lang w:val="zh-CN"/>
        </w:rPr>
      </w:pPr>
      <w:r>
        <w:rPr>
          <w:rFonts w:hint="eastAsia" w:ascii="宋体" w:hAnsi="宋体" w:cs="宋体"/>
          <w:snapToGrid w:val="0"/>
          <w:kern w:val="0"/>
          <w:sz w:val="24"/>
          <w:szCs w:val="24"/>
          <w:lang w:val="zh-CN"/>
        </w:rPr>
        <w:t>（6）传输电缆/电线</w:t>
      </w:r>
    </w:p>
    <w:p>
      <w:pPr>
        <w:pStyle w:val="99"/>
        <w:snapToGrid w:val="0"/>
        <w:spacing w:line="400" w:lineRule="atLeast"/>
        <w:ind w:firstLine="200"/>
        <w:jc w:val="both"/>
        <w:rPr>
          <w:rFonts w:ascii="宋体" w:hAnsi="宋体" w:eastAsia="宋体"/>
          <w:snapToGrid w:val="0"/>
          <w:sz w:val="24"/>
          <w:szCs w:val="24"/>
        </w:rPr>
      </w:pPr>
      <w:r>
        <w:rPr>
          <w:rFonts w:hint="eastAsia" w:ascii="宋体" w:hAnsi="宋体" w:eastAsia="宋体"/>
          <w:snapToGrid w:val="0"/>
          <w:sz w:val="24"/>
          <w:szCs w:val="24"/>
        </w:rPr>
        <w:t>卖方应提供所有合同设备之间的光缆（包括光纤收发器），双绞线和电缆。</w:t>
      </w:r>
    </w:p>
    <w:p>
      <w:pPr>
        <w:pStyle w:val="99"/>
        <w:snapToGrid w:val="0"/>
        <w:spacing w:line="400" w:lineRule="atLeast"/>
        <w:ind w:firstLine="200"/>
        <w:jc w:val="both"/>
        <w:rPr>
          <w:rFonts w:ascii="宋体" w:hAnsi="宋体" w:eastAsia="宋体"/>
          <w:snapToGrid w:val="0"/>
          <w:sz w:val="24"/>
          <w:szCs w:val="24"/>
        </w:rPr>
      </w:pPr>
      <w:r>
        <w:rPr>
          <w:rFonts w:hint="eastAsia" w:ascii="宋体" w:hAnsi="宋体" w:eastAsia="宋体"/>
          <w:snapToGrid w:val="0"/>
          <w:sz w:val="24"/>
          <w:szCs w:val="24"/>
        </w:rPr>
        <w:t>卖方提供的光缆应为符合ITU-T G</w:t>
      </w:r>
      <w:r>
        <w:rPr>
          <w:rFonts w:ascii="宋体" w:hAnsi="宋体" w:eastAsia="宋体"/>
          <w:snapToGrid w:val="0"/>
          <w:sz w:val="24"/>
          <w:szCs w:val="24"/>
        </w:rPr>
        <w:t>.</w:t>
      </w:r>
      <w:r>
        <w:rPr>
          <w:rFonts w:hint="eastAsia" w:ascii="宋体" w:hAnsi="宋体" w:eastAsia="宋体"/>
          <w:snapToGrid w:val="0"/>
          <w:sz w:val="24"/>
          <w:szCs w:val="24"/>
        </w:rPr>
        <w:t>652标准的单模光纤。</w:t>
      </w:r>
    </w:p>
    <w:p>
      <w:pPr>
        <w:adjustRightInd w:val="0"/>
        <w:snapToGrid w:val="0"/>
        <w:spacing w:line="400" w:lineRule="atLeast"/>
        <w:ind w:firstLine="480" w:firstLineChars="200"/>
        <w:rPr>
          <w:rFonts w:ascii="宋体" w:hAnsi="宋体" w:cs="宋体"/>
          <w:snapToGrid w:val="0"/>
          <w:kern w:val="0"/>
          <w:sz w:val="24"/>
          <w:szCs w:val="24"/>
          <w:lang w:val="zh-CN"/>
        </w:rPr>
      </w:pPr>
      <w:r>
        <w:rPr>
          <w:rFonts w:hint="eastAsia" w:ascii="宋体" w:hAnsi="宋体" w:cs="宋体"/>
          <w:snapToGrid w:val="0"/>
          <w:kern w:val="0"/>
          <w:sz w:val="24"/>
          <w:szCs w:val="24"/>
          <w:lang w:val="zh-CN"/>
        </w:rPr>
        <w:t>（7）防雷接地设施</w:t>
      </w:r>
    </w:p>
    <w:p>
      <w:pPr>
        <w:pStyle w:val="897"/>
        <w:snapToGrid w:val="0"/>
        <w:spacing w:before="0" w:after="0" w:line="400" w:lineRule="atLeast"/>
        <w:ind w:left="0" w:firstLine="480" w:firstLineChars="200"/>
        <w:rPr>
          <w:rFonts w:hAnsi="宋体"/>
          <w:snapToGrid w:val="0"/>
          <w:spacing w:val="0"/>
          <w:lang w:val="zh-CN"/>
        </w:rPr>
      </w:pPr>
      <w:r>
        <w:rPr>
          <w:rFonts w:hint="eastAsia" w:hAnsi="宋体"/>
          <w:snapToGrid w:val="0"/>
          <w:spacing w:val="0"/>
          <w:lang w:val="zh-CN"/>
        </w:rPr>
        <w:t>对室外</w:t>
      </w:r>
      <w:r>
        <w:rPr>
          <w:rFonts w:hint="eastAsia" w:hAnsi="宋体"/>
          <w:snapToGrid w:val="0"/>
          <w:spacing w:val="0"/>
        </w:rPr>
        <w:t>有雷激可能的摄像机应</w:t>
      </w:r>
      <w:r>
        <w:rPr>
          <w:rFonts w:hint="eastAsia" w:hAnsi="宋体"/>
          <w:snapToGrid w:val="0"/>
          <w:spacing w:val="0"/>
          <w:lang w:val="zh-CN"/>
        </w:rPr>
        <w:t>做防雷设施。</w:t>
      </w:r>
    </w:p>
    <w:p>
      <w:pPr>
        <w:pStyle w:val="897"/>
        <w:snapToGrid w:val="0"/>
        <w:spacing w:before="0" w:after="0" w:line="400" w:lineRule="atLeast"/>
        <w:ind w:left="0" w:firstLine="480" w:firstLineChars="200"/>
        <w:rPr>
          <w:rFonts w:hAnsi="宋体"/>
          <w:snapToGrid w:val="0"/>
          <w:spacing w:val="0"/>
        </w:rPr>
      </w:pPr>
      <w:r>
        <w:rPr>
          <w:rFonts w:hint="eastAsia" w:hAnsi="宋体"/>
          <w:snapToGrid w:val="0"/>
          <w:spacing w:val="0"/>
          <w:lang w:val="zh-CN"/>
        </w:rPr>
        <w:t>1）</w:t>
      </w:r>
      <w:r>
        <w:rPr>
          <w:rFonts w:hint="eastAsia" w:hAnsi="宋体"/>
          <w:snapToGrid w:val="0"/>
          <w:spacing w:val="0"/>
        </w:rPr>
        <w:t>摄像机的电源线、视频线、控制线应设雷电浪涌防护。</w:t>
      </w:r>
    </w:p>
    <w:p>
      <w:pPr>
        <w:pStyle w:val="99"/>
        <w:snapToGrid w:val="0"/>
        <w:spacing w:line="400" w:lineRule="atLeast"/>
        <w:ind w:firstLine="200"/>
        <w:jc w:val="both"/>
        <w:rPr>
          <w:rFonts w:ascii="宋体" w:hAnsi="宋体" w:eastAsia="宋体"/>
          <w:snapToGrid w:val="0"/>
          <w:sz w:val="24"/>
          <w:szCs w:val="24"/>
        </w:rPr>
      </w:pPr>
      <w:bookmarkStart w:id="181" w:name="_Toc195848017"/>
      <w:bookmarkStart w:id="182" w:name="_Toc195852955"/>
      <w:r>
        <w:rPr>
          <w:rFonts w:hint="eastAsia" w:ascii="宋体" w:hAnsi="宋体" w:eastAsia="宋体"/>
          <w:snapToGrid w:val="0"/>
          <w:sz w:val="24"/>
          <w:szCs w:val="24"/>
        </w:rPr>
        <w:t>2）防雷接地</w:t>
      </w:r>
      <w:bookmarkEnd w:id="181"/>
      <w:bookmarkEnd w:id="182"/>
      <w:r>
        <w:rPr>
          <w:rFonts w:hint="eastAsia" w:ascii="宋体" w:hAnsi="宋体" w:eastAsia="宋体"/>
          <w:snapToGrid w:val="0"/>
          <w:sz w:val="24"/>
          <w:szCs w:val="24"/>
        </w:rPr>
        <w:t>应利用电站接地系统，当不满足室外摄像机防雷要求时，应采取措施使之满足室外摄像机防雷要求，投标时做出方案，并报价。</w:t>
      </w:r>
    </w:p>
    <w:p>
      <w:pPr>
        <w:adjustRightInd w:val="0"/>
        <w:snapToGrid w:val="0"/>
        <w:spacing w:line="400" w:lineRule="exact"/>
        <w:ind w:firstLine="480" w:firstLineChars="200"/>
        <w:rPr>
          <w:rFonts w:hint="eastAsia" w:ascii="宋体" w:hAnsi="宋体"/>
          <w:snapToGrid w:val="0"/>
          <w:kern w:val="0"/>
          <w:sz w:val="24"/>
          <w:szCs w:val="24"/>
        </w:rPr>
      </w:pPr>
      <w:bookmarkStart w:id="183" w:name="_Toc37815909"/>
      <w:bookmarkStart w:id="184" w:name="_Toc31791930"/>
      <w:r>
        <w:rPr>
          <w:rFonts w:hint="eastAsia" w:ascii="宋体" w:hAnsi="宋体"/>
          <w:snapToGrid w:val="0"/>
          <w:kern w:val="0"/>
          <w:sz w:val="24"/>
          <w:szCs w:val="24"/>
        </w:rPr>
        <w:t>2.1.4</w:t>
      </w:r>
      <w:bookmarkEnd w:id="183"/>
      <w:r>
        <w:rPr>
          <w:rFonts w:hint="eastAsia" w:ascii="宋体" w:hAnsi="宋体"/>
          <w:snapToGrid w:val="0"/>
          <w:kern w:val="0"/>
          <w:sz w:val="24"/>
          <w:szCs w:val="24"/>
        </w:rPr>
        <w:t xml:space="preserve">  交换机</w:t>
      </w:r>
      <w:bookmarkEnd w:id="184"/>
    </w:p>
    <w:bookmarkEnd w:id="173"/>
    <w:bookmarkEnd w:id="174"/>
    <w:bookmarkEnd w:id="175"/>
    <w:bookmarkEnd w:id="176"/>
    <w:bookmarkEnd w:id="180"/>
    <w:p>
      <w:pPr>
        <w:tabs>
          <w:tab w:val="left" w:pos="786"/>
        </w:tabs>
        <w:adjustRightInd w:val="0"/>
        <w:snapToGrid w:val="0"/>
        <w:spacing w:line="400" w:lineRule="atLeast"/>
        <w:ind w:firstLine="480" w:firstLineChars="200"/>
        <w:rPr>
          <w:rFonts w:ascii="宋体" w:hAnsi="宋体" w:cs="Arial"/>
          <w:bCs/>
          <w:snapToGrid w:val="0"/>
          <w:kern w:val="0"/>
          <w:sz w:val="24"/>
          <w:szCs w:val="24"/>
        </w:rPr>
      </w:pPr>
      <w:r>
        <w:rPr>
          <w:rFonts w:hint="eastAsia" w:ascii="宋体" w:hAnsi="宋体" w:cs="宋体"/>
          <w:snapToGrid w:val="0"/>
          <w:kern w:val="0"/>
          <w:sz w:val="24"/>
          <w:szCs w:val="24"/>
          <w:lang w:val="zh-CN"/>
        </w:rPr>
        <w:t>具体网络通讯设备详见通讯视频部分</w:t>
      </w:r>
    </w:p>
    <w:p>
      <w:pPr>
        <w:adjustRightInd w:val="0"/>
        <w:snapToGrid w:val="0"/>
        <w:spacing w:line="400" w:lineRule="exact"/>
        <w:ind w:firstLine="480" w:firstLineChars="200"/>
        <w:rPr>
          <w:rFonts w:hint="eastAsia" w:ascii="宋体" w:hAnsi="宋体"/>
          <w:snapToGrid w:val="0"/>
          <w:kern w:val="0"/>
          <w:sz w:val="24"/>
          <w:szCs w:val="24"/>
        </w:rPr>
      </w:pPr>
      <w:bookmarkStart w:id="185" w:name="_Toc31791931"/>
      <w:r>
        <w:rPr>
          <w:rFonts w:hint="eastAsia" w:ascii="宋体" w:hAnsi="宋体"/>
          <w:snapToGrid w:val="0"/>
          <w:kern w:val="0"/>
          <w:sz w:val="24"/>
          <w:szCs w:val="24"/>
        </w:rPr>
        <w:t>2.1.5  视频监视屏</w:t>
      </w:r>
      <w:bookmarkEnd w:id="185"/>
    </w:p>
    <w:p>
      <w:pPr>
        <w:adjustRightInd w:val="0"/>
        <w:snapToGrid w:val="0"/>
        <w:spacing w:line="400" w:lineRule="atLeast"/>
        <w:ind w:firstLine="480" w:firstLineChars="200"/>
        <w:rPr>
          <w:rFonts w:ascii="宋体" w:hAnsi="宋体"/>
          <w:snapToGrid w:val="0"/>
          <w:kern w:val="0"/>
          <w:sz w:val="24"/>
          <w:szCs w:val="24"/>
        </w:rPr>
      </w:pPr>
      <w:r>
        <w:rPr>
          <w:rFonts w:hint="eastAsia" w:ascii="宋体" w:hAnsi="宋体"/>
          <w:snapToGrid w:val="0"/>
          <w:kern w:val="0"/>
          <w:sz w:val="24"/>
          <w:szCs w:val="24"/>
        </w:rPr>
        <w:t>具体参数如下：</w:t>
      </w:r>
    </w:p>
    <w:p>
      <w:pPr>
        <w:adjustRightInd w:val="0"/>
        <w:snapToGrid w:val="0"/>
        <w:ind w:firstLine="420" w:firstLineChars="200"/>
        <w:rPr>
          <w:snapToGrid w:val="0"/>
          <w:kern w:val="0"/>
          <w:szCs w:val="21"/>
        </w:rPr>
      </w:pPr>
    </w:p>
    <w:tbl>
      <w:tblPr>
        <w:tblStyle w:val="68"/>
        <w:tblW w:w="5000" w:type="pct"/>
        <w:tblInd w:w="0" w:type="dxa"/>
        <w:tblLayout w:type="autofit"/>
        <w:tblCellMar>
          <w:top w:w="0" w:type="dxa"/>
          <w:left w:w="108" w:type="dxa"/>
          <w:bottom w:w="0" w:type="dxa"/>
          <w:right w:w="108" w:type="dxa"/>
        </w:tblCellMar>
      </w:tblPr>
      <w:tblGrid>
        <w:gridCol w:w="2752"/>
        <w:gridCol w:w="6870"/>
      </w:tblGrid>
      <w:tr>
        <w:tblPrEx>
          <w:tblCellMar>
            <w:top w:w="0" w:type="dxa"/>
            <w:left w:w="108" w:type="dxa"/>
            <w:bottom w:w="0" w:type="dxa"/>
            <w:right w:w="108" w:type="dxa"/>
          </w:tblCellMar>
        </w:tblPrEx>
        <w:tc>
          <w:tcPr>
            <w:tcW w:w="1430" w:type="pct"/>
            <w:tcBorders>
              <w:top w:val="single" w:color="auto" w:sz="4" w:space="0"/>
              <w:left w:val="single" w:color="auto" w:sz="4" w:space="0"/>
              <w:bottom w:val="single" w:color="auto" w:sz="4" w:space="0"/>
              <w:right w:val="single" w:color="auto" w:sz="4" w:space="0"/>
            </w:tcBorders>
            <w:shd w:val="clear" w:color="000000" w:fill="FFFFFF"/>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电视类别</w:t>
            </w:r>
          </w:p>
        </w:tc>
        <w:tc>
          <w:tcPr>
            <w:tcW w:w="3570" w:type="pct"/>
            <w:tcBorders>
              <w:top w:val="single" w:color="auto" w:sz="4" w:space="0"/>
              <w:left w:val="nil"/>
              <w:bottom w:val="single" w:color="auto" w:sz="4" w:space="0"/>
              <w:right w:val="single" w:color="auto" w:sz="4" w:space="0"/>
            </w:tcBorders>
            <w:shd w:val="clear" w:color="000000" w:fill="FFFFFF"/>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平面电视</w:t>
            </w:r>
          </w:p>
        </w:tc>
      </w:tr>
      <w:tr>
        <w:tblPrEx>
          <w:tblCellMar>
            <w:top w:w="0" w:type="dxa"/>
            <w:left w:w="108" w:type="dxa"/>
            <w:bottom w:w="0" w:type="dxa"/>
            <w:right w:w="108" w:type="dxa"/>
          </w:tblCellMar>
        </w:tblPrEx>
        <w:tc>
          <w:tcPr>
            <w:tcW w:w="1430" w:type="pct"/>
            <w:tcBorders>
              <w:top w:val="nil"/>
              <w:left w:val="single" w:color="auto" w:sz="4" w:space="0"/>
              <w:bottom w:val="single" w:color="auto" w:sz="4" w:space="0"/>
              <w:right w:val="single" w:color="auto" w:sz="4" w:space="0"/>
            </w:tcBorders>
            <w:shd w:val="clear" w:color="000000" w:fill="FFFFFF"/>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类型</w:t>
            </w:r>
          </w:p>
        </w:tc>
        <w:tc>
          <w:tcPr>
            <w:tcW w:w="3570" w:type="pct"/>
            <w:tcBorders>
              <w:top w:val="nil"/>
              <w:left w:val="nil"/>
              <w:bottom w:val="single" w:color="auto" w:sz="4" w:space="0"/>
              <w:right w:val="single" w:color="auto" w:sz="4" w:space="0"/>
            </w:tcBorders>
            <w:shd w:val="clear" w:color="000000" w:fill="FFFFFF"/>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LED液晶电视机</w:t>
            </w:r>
          </w:p>
        </w:tc>
      </w:tr>
      <w:tr>
        <w:tblPrEx>
          <w:tblCellMar>
            <w:top w:w="0" w:type="dxa"/>
            <w:left w:w="108" w:type="dxa"/>
            <w:bottom w:w="0" w:type="dxa"/>
            <w:right w:w="108" w:type="dxa"/>
          </w:tblCellMar>
        </w:tblPrEx>
        <w:tc>
          <w:tcPr>
            <w:tcW w:w="1430" w:type="pct"/>
            <w:tcBorders>
              <w:top w:val="single" w:color="auto" w:sz="4" w:space="0"/>
              <w:left w:val="single" w:color="auto" w:sz="4" w:space="0"/>
              <w:bottom w:val="single" w:color="auto" w:sz="4" w:space="0"/>
              <w:right w:val="single" w:color="auto" w:sz="4" w:space="0"/>
            </w:tcBorders>
            <w:shd w:val="clear" w:color="000000" w:fill="FFFFFF"/>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分辨率</w:t>
            </w:r>
          </w:p>
        </w:tc>
        <w:tc>
          <w:tcPr>
            <w:tcW w:w="3570" w:type="pct"/>
            <w:tcBorders>
              <w:top w:val="single" w:color="auto" w:sz="4" w:space="0"/>
              <w:left w:val="nil"/>
              <w:bottom w:val="single" w:color="auto" w:sz="4" w:space="0"/>
              <w:right w:val="single" w:color="auto" w:sz="4" w:space="0"/>
            </w:tcBorders>
            <w:shd w:val="clear" w:color="000000" w:fill="FFFFFF"/>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3840×2160</w:t>
            </w:r>
          </w:p>
        </w:tc>
      </w:tr>
      <w:tr>
        <w:tblPrEx>
          <w:tblCellMar>
            <w:top w:w="0" w:type="dxa"/>
            <w:left w:w="108" w:type="dxa"/>
            <w:bottom w:w="0" w:type="dxa"/>
            <w:right w:w="108" w:type="dxa"/>
          </w:tblCellMar>
        </w:tblPrEx>
        <w:tc>
          <w:tcPr>
            <w:tcW w:w="1430" w:type="pct"/>
            <w:tcBorders>
              <w:top w:val="single" w:color="auto" w:sz="4" w:space="0"/>
              <w:left w:val="single" w:color="auto" w:sz="4" w:space="0"/>
              <w:bottom w:val="single" w:color="auto" w:sz="4" w:space="0"/>
              <w:right w:val="nil"/>
            </w:tcBorders>
            <w:shd w:val="clear" w:color="auto" w:fill="auto"/>
            <w:noWrap/>
            <w:vAlign w:val="center"/>
          </w:tcPr>
          <w:p>
            <w:pPr>
              <w:adjustRightInd w:val="0"/>
              <w:snapToGrid w:val="0"/>
              <w:jc w:val="center"/>
              <w:rPr>
                <w:rFonts w:ascii="宋体" w:hAnsi="宋体" w:cs="宋体"/>
                <w:snapToGrid w:val="0"/>
                <w:kern w:val="0"/>
                <w:szCs w:val="21"/>
              </w:rPr>
            </w:pPr>
            <w:bookmarkStart w:id="186" w:name="RANGE!A4"/>
            <w:r>
              <w:rPr>
                <w:rFonts w:hint="eastAsia" w:ascii="宋体" w:hAnsi="宋体" w:cs="宋体"/>
                <w:snapToGrid w:val="0"/>
                <w:kern w:val="0"/>
                <w:szCs w:val="21"/>
              </w:rPr>
              <w:t>屏幕尺寸</w:t>
            </w:r>
            <w:bookmarkEnd w:id="186"/>
          </w:p>
        </w:tc>
        <w:tc>
          <w:tcPr>
            <w:tcW w:w="3570" w:type="pct"/>
            <w:tcBorders>
              <w:top w:val="single" w:color="auto" w:sz="4" w:space="0"/>
              <w:left w:val="single" w:color="auto" w:sz="4" w:space="0"/>
              <w:bottom w:val="single" w:color="auto" w:sz="4" w:space="0"/>
              <w:right w:val="single" w:color="auto" w:sz="4" w:space="0"/>
            </w:tcBorders>
            <w:shd w:val="clear" w:color="000000" w:fill="FFFFFF"/>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65英寸</w:t>
            </w:r>
          </w:p>
        </w:tc>
      </w:tr>
      <w:tr>
        <w:tblPrEx>
          <w:tblCellMar>
            <w:top w:w="0" w:type="dxa"/>
            <w:left w:w="108" w:type="dxa"/>
            <w:bottom w:w="0" w:type="dxa"/>
            <w:right w:w="108" w:type="dxa"/>
          </w:tblCellMar>
        </w:tblPrEx>
        <w:tc>
          <w:tcPr>
            <w:tcW w:w="1430" w:type="pct"/>
            <w:tcBorders>
              <w:top w:val="single" w:color="auto" w:sz="4" w:space="0"/>
              <w:left w:val="single" w:color="auto" w:sz="4" w:space="0"/>
              <w:bottom w:val="single" w:color="auto" w:sz="4" w:space="0"/>
              <w:right w:val="nil"/>
            </w:tcBorders>
            <w:shd w:val="clear" w:color="auto" w:fill="auto"/>
            <w:noWrap/>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屏幕比例</w:t>
            </w:r>
          </w:p>
        </w:tc>
        <w:tc>
          <w:tcPr>
            <w:tcW w:w="3570" w:type="pct"/>
            <w:tcBorders>
              <w:top w:val="single" w:color="auto" w:sz="4" w:space="0"/>
              <w:left w:val="single" w:color="auto" w:sz="4" w:space="0"/>
              <w:bottom w:val="single" w:color="auto" w:sz="4" w:space="0"/>
              <w:right w:val="single" w:color="auto" w:sz="4" w:space="0"/>
            </w:tcBorders>
            <w:shd w:val="clear" w:color="000000" w:fill="FFFFFF"/>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16:09</w:t>
            </w:r>
          </w:p>
        </w:tc>
      </w:tr>
      <w:tr>
        <w:tblPrEx>
          <w:tblCellMar>
            <w:top w:w="0" w:type="dxa"/>
            <w:left w:w="108" w:type="dxa"/>
            <w:bottom w:w="0" w:type="dxa"/>
            <w:right w:w="108" w:type="dxa"/>
          </w:tblCellMar>
        </w:tblPrEx>
        <w:tc>
          <w:tcPr>
            <w:tcW w:w="1430" w:type="pct"/>
            <w:tcBorders>
              <w:top w:val="single" w:color="auto" w:sz="4" w:space="0"/>
              <w:left w:val="single" w:color="auto" w:sz="4" w:space="0"/>
              <w:bottom w:val="single" w:color="auto" w:sz="4" w:space="0"/>
              <w:right w:val="nil"/>
            </w:tcBorders>
            <w:shd w:val="clear" w:color="auto" w:fill="auto"/>
            <w:noWrap/>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最佳观看距离</w:t>
            </w:r>
          </w:p>
        </w:tc>
        <w:tc>
          <w:tcPr>
            <w:tcW w:w="3570" w:type="pct"/>
            <w:tcBorders>
              <w:top w:val="single" w:color="auto" w:sz="4" w:space="0"/>
              <w:left w:val="single" w:color="auto" w:sz="4" w:space="0"/>
              <w:bottom w:val="single" w:color="auto" w:sz="4" w:space="0"/>
              <w:right w:val="single" w:color="auto" w:sz="4" w:space="0"/>
            </w:tcBorders>
            <w:shd w:val="clear" w:color="000000" w:fill="FFFFFF"/>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4.5米以上</w:t>
            </w:r>
          </w:p>
        </w:tc>
      </w:tr>
      <w:tr>
        <w:tblPrEx>
          <w:tblCellMar>
            <w:top w:w="0" w:type="dxa"/>
            <w:left w:w="108" w:type="dxa"/>
            <w:bottom w:w="0" w:type="dxa"/>
            <w:right w:w="108" w:type="dxa"/>
          </w:tblCellMar>
        </w:tblPrEx>
        <w:tc>
          <w:tcPr>
            <w:tcW w:w="1430" w:type="pct"/>
            <w:tcBorders>
              <w:top w:val="single" w:color="auto" w:sz="4" w:space="0"/>
              <w:left w:val="single" w:color="auto" w:sz="4" w:space="0"/>
              <w:bottom w:val="single" w:color="auto" w:sz="4" w:space="0"/>
              <w:right w:val="nil"/>
            </w:tcBorders>
            <w:shd w:val="clear" w:color="auto" w:fill="auto"/>
            <w:noWrap/>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背光灯类型</w:t>
            </w:r>
          </w:p>
        </w:tc>
        <w:tc>
          <w:tcPr>
            <w:tcW w:w="3570" w:type="pct"/>
            <w:tcBorders>
              <w:top w:val="single" w:color="auto" w:sz="4" w:space="0"/>
              <w:left w:val="single" w:color="auto" w:sz="4" w:space="0"/>
              <w:bottom w:val="single" w:color="auto" w:sz="4" w:space="0"/>
              <w:right w:val="single" w:color="auto" w:sz="4" w:space="0"/>
            </w:tcBorders>
            <w:shd w:val="clear" w:color="000000" w:fill="FFFFFF"/>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LED</w:t>
            </w:r>
          </w:p>
        </w:tc>
      </w:tr>
      <w:tr>
        <w:tblPrEx>
          <w:tblCellMar>
            <w:top w:w="0" w:type="dxa"/>
            <w:left w:w="108" w:type="dxa"/>
            <w:bottom w:w="0" w:type="dxa"/>
            <w:right w:w="108" w:type="dxa"/>
          </w:tblCellMar>
        </w:tblPrEx>
        <w:tc>
          <w:tcPr>
            <w:tcW w:w="1430" w:type="pct"/>
            <w:tcBorders>
              <w:top w:val="single" w:color="auto" w:sz="4" w:space="0"/>
              <w:left w:val="single" w:color="auto" w:sz="4" w:space="0"/>
              <w:bottom w:val="single" w:color="auto" w:sz="4" w:space="0"/>
              <w:right w:val="nil"/>
            </w:tcBorders>
            <w:shd w:val="clear" w:color="auto" w:fill="auto"/>
            <w:noWrap/>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电视3D功能</w:t>
            </w:r>
          </w:p>
        </w:tc>
        <w:tc>
          <w:tcPr>
            <w:tcW w:w="3570" w:type="pct"/>
            <w:tcBorders>
              <w:top w:val="single" w:color="auto" w:sz="4" w:space="0"/>
              <w:left w:val="single" w:color="auto" w:sz="4" w:space="0"/>
              <w:bottom w:val="single" w:color="auto" w:sz="4" w:space="0"/>
              <w:right w:val="single" w:color="auto" w:sz="4" w:space="0"/>
            </w:tcBorders>
            <w:shd w:val="clear" w:color="000000" w:fill="FFFFFF"/>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不支持</w:t>
            </w:r>
          </w:p>
        </w:tc>
      </w:tr>
      <w:tr>
        <w:tblPrEx>
          <w:tblCellMar>
            <w:top w:w="0" w:type="dxa"/>
            <w:left w:w="108" w:type="dxa"/>
            <w:bottom w:w="0" w:type="dxa"/>
            <w:right w:w="108" w:type="dxa"/>
          </w:tblCellMar>
        </w:tblPrEx>
        <w:tc>
          <w:tcPr>
            <w:tcW w:w="1430" w:type="pct"/>
            <w:tcBorders>
              <w:top w:val="single" w:color="auto" w:sz="4" w:space="0"/>
              <w:left w:val="single" w:color="auto" w:sz="4" w:space="0"/>
              <w:bottom w:val="single" w:color="auto" w:sz="4" w:space="0"/>
              <w:right w:val="single" w:color="auto" w:sz="4" w:space="0"/>
            </w:tcBorders>
            <w:shd w:val="clear" w:color="000000" w:fill="FFFFFF"/>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底座旋转</w:t>
            </w:r>
          </w:p>
        </w:tc>
        <w:tc>
          <w:tcPr>
            <w:tcW w:w="3570" w:type="pct"/>
            <w:tcBorders>
              <w:top w:val="single" w:color="auto" w:sz="4" w:space="0"/>
              <w:left w:val="nil"/>
              <w:bottom w:val="single" w:color="auto" w:sz="4" w:space="0"/>
              <w:right w:val="single" w:color="auto" w:sz="4" w:space="0"/>
            </w:tcBorders>
            <w:shd w:val="clear" w:color="000000" w:fill="FFFFFF"/>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不支持</w:t>
            </w:r>
          </w:p>
        </w:tc>
      </w:tr>
      <w:tr>
        <w:tblPrEx>
          <w:tblCellMar>
            <w:top w:w="0" w:type="dxa"/>
            <w:left w:w="108" w:type="dxa"/>
            <w:bottom w:w="0" w:type="dxa"/>
            <w:right w:w="108" w:type="dxa"/>
          </w:tblCellMar>
        </w:tblPrEx>
        <w:tc>
          <w:tcPr>
            <w:tcW w:w="1430" w:type="pct"/>
            <w:tcBorders>
              <w:top w:val="nil"/>
              <w:left w:val="single" w:color="auto" w:sz="4" w:space="0"/>
              <w:bottom w:val="single" w:color="auto" w:sz="4" w:space="0"/>
              <w:right w:val="single" w:color="auto" w:sz="4" w:space="0"/>
            </w:tcBorders>
            <w:shd w:val="clear" w:color="000000" w:fill="FFFFFF"/>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壁挂安装</w:t>
            </w:r>
          </w:p>
        </w:tc>
        <w:tc>
          <w:tcPr>
            <w:tcW w:w="3570" w:type="pct"/>
            <w:tcBorders>
              <w:top w:val="nil"/>
              <w:left w:val="nil"/>
              <w:bottom w:val="single" w:color="auto" w:sz="4" w:space="0"/>
              <w:right w:val="single" w:color="auto" w:sz="4" w:space="0"/>
            </w:tcBorders>
            <w:shd w:val="clear" w:color="000000" w:fill="FFFFFF"/>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支持</w:t>
            </w:r>
          </w:p>
        </w:tc>
      </w:tr>
      <w:tr>
        <w:tblPrEx>
          <w:tblCellMar>
            <w:top w:w="0" w:type="dxa"/>
            <w:left w:w="108" w:type="dxa"/>
            <w:bottom w:w="0" w:type="dxa"/>
            <w:right w:w="108" w:type="dxa"/>
          </w:tblCellMar>
        </w:tblPrEx>
        <w:tc>
          <w:tcPr>
            <w:tcW w:w="1430" w:type="pct"/>
            <w:tcBorders>
              <w:top w:val="nil"/>
              <w:left w:val="single" w:color="auto" w:sz="4" w:space="0"/>
              <w:bottom w:val="single" w:color="auto" w:sz="4" w:space="0"/>
              <w:right w:val="single" w:color="auto" w:sz="4" w:space="0"/>
            </w:tcBorders>
            <w:shd w:val="clear" w:color="000000" w:fill="FFFFFF"/>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USB支持视频格式</w:t>
            </w:r>
          </w:p>
        </w:tc>
        <w:tc>
          <w:tcPr>
            <w:tcW w:w="3570" w:type="pct"/>
            <w:tcBorders>
              <w:top w:val="nil"/>
              <w:left w:val="nil"/>
              <w:bottom w:val="single" w:color="auto" w:sz="4" w:space="0"/>
              <w:right w:val="single" w:color="auto" w:sz="4" w:space="0"/>
            </w:tcBorders>
            <w:shd w:val="clear" w:color="000000" w:fill="FFFFFF"/>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MPEG1/MPEG2PS/MPEG2TS/AVCHD/MP4Part10/</w:t>
            </w:r>
          </w:p>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MP4Part2/AVI(XVID)/AVI(MotinJpeg)/MOV/WMV/</w:t>
            </w:r>
          </w:p>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MKV/RMVB/WEBM/3GPP</w:t>
            </w:r>
          </w:p>
        </w:tc>
      </w:tr>
      <w:tr>
        <w:tblPrEx>
          <w:tblCellMar>
            <w:top w:w="0" w:type="dxa"/>
            <w:left w:w="108" w:type="dxa"/>
            <w:bottom w:w="0" w:type="dxa"/>
            <w:right w:w="108" w:type="dxa"/>
          </w:tblCellMar>
        </w:tblPrEx>
        <w:tc>
          <w:tcPr>
            <w:tcW w:w="1430" w:type="pct"/>
            <w:tcBorders>
              <w:top w:val="nil"/>
              <w:left w:val="single" w:color="auto" w:sz="4" w:space="0"/>
              <w:bottom w:val="single" w:color="auto" w:sz="4" w:space="0"/>
              <w:right w:val="single" w:color="auto" w:sz="4" w:space="0"/>
            </w:tcBorders>
            <w:shd w:val="clear" w:color="000000" w:fill="FFFFFF"/>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USB支持音频格式</w:t>
            </w:r>
          </w:p>
        </w:tc>
        <w:tc>
          <w:tcPr>
            <w:tcW w:w="3570" w:type="pct"/>
            <w:tcBorders>
              <w:top w:val="nil"/>
              <w:left w:val="nil"/>
              <w:bottom w:val="single" w:color="auto" w:sz="4" w:space="0"/>
              <w:right w:val="single" w:color="auto" w:sz="4" w:space="0"/>
            </w:tcBorders>
            <w:shd w:val="clear" w:color="000000" w:fill="FFFFFF"/>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MP3/WMA/WAV</w:t>
            </w:r>
          </w:p>
        </w:tc>
      </w:tr>
      <w:tr>
        <w:tblPrEx>
          <w:tblCellMar>
            <w:top w:w="0" w:type="dxa"/>
            <w:left w:w="108" w:type="dxa"/>
            <w:bottom w:w="0" w:type="dxa"/>
            <w:right w:w="108" w:type="dxa"/>
          </w:tblCellMar>
        </w:tblPrEx>
        <w:tc>
          <w:tcPr>
            <w:tcW w:w="1430" w:type="pct"/>
            <w:tcBorders>
              <w:top w:val="nil"/>
              <w:left w:val="single" w:color="auto" w:sz="4" w:space="0"/>
              <w:bottom w:val="single" w:color="auto" w:sz="4" w:space="0"/>
              <w:right w:val="single" w:color="auto" w:sz="4" w:space="0"/>
            </w:tcBorders>
            <w:shd w:val="clear" w:color="000000" w:fill="FFFFFF"/>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USB支持图片格式</w:t>
            </w:r>
          </w:p>
        </w:tc>
        <w:tc>
          <w:tcPr>
            <w:tcW w:w="3570" w:type="pct"/>
            <w:tcBorders>
              <w:top w:val="nil"/>
              <w:left w:val="nil"/>
              <w:bottom w:val="single" w:color="auto" w:sz="4" w:space="0"/>
              <w:right w:val="single" w:color="auto" w:sz="4" w:space="0"/>
            </w:tcBorders>
            <w:shd w:val="clear" w:color="000000" w:fill="FFFFFF"/>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JPEG/MPO/RAW(ARW)</w:t>
            </w:r>
          </w:p>
        </w:tc>
      </w:tr>
      <w:tr>
        <w:tblPrEx>
          <w:tblCellMar>
            <w:top w:w="0" w:type="dxa"/>
            <w:left w:w="108" w:type="dxa"/>
            <w:bottom w:w="0" w:type="dxa"/>
            <w:right w:w="108" w:type="dxa"/>
          </w:tblCellMar>
        </w:tblPrEx>
        <w:tc>
          <w:tcPr>
            <w:tcW w:w="1430" w:type="pct"/>
            <w:tcBorders>
              <w:top w:val="nil"/>
              <w:left w:val="single" w:color="auto" w:sz="4" w:space="0"/>
              <w:bottom w:val="single" w:color="auto" w:sz="4" w:space="0"/>
              <w:right w:val="single" w:color="auto" w:sz="4" w:space="0"/>
            </w:tcBorders>
            <w:shd w:val="clear" w:color="000000" w:fill="FFFFFF"/>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网络连接</w:t>
            </w:r>
          </w:p>
        </w:tc>
        <w:tc>
          <w:tcPr>
            <w:tcW w:w="3570" w:type="pct"/>
            <w:tcBorders>
              <w:top w:val="nil"/>
              <w:left w:val="nil"/>
              <w:bottom w:val="single" w:color="auto" w:sz="4" w:space="0"/>
              <w:right w:val="single" w:color="auto" w:sz="4" w:space="0"/>
            </w:tcBorders>
            <w:shd w:val="clear" w:color="000000" w:fill="FFFFFF"/>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支持</w:t>
            </w:r>
          </w:p>
        </w:tc>
      </w:tr>
      <w:tr>
        <w:tblPrEx>
          <w:tblCellMar>
            <w:top w:w="0" w:type="dxa"/>
            <w:left w:w="108" w:type="dxa"/>
            <w:bottom w:w="0" w:type="dxa"/>
            <w:right w:w="108" w:type="dxa"/>
          </w:tblCellMar>
        </w:tblPrEx>
        <w:tc>
          <w:tcPr>
            <w:tcW w:w="1430" w:type="pct"/>
            <w:tcBorders>
              <w:top w:val="nil"/>
              <w:left w:val="single" w:color="auto" w:sz="4" w:space="0"/>
              <w:bottom w:val="single" w:color="auto" w:sz="4" w:space="0"/>
              <w:right w:val="single" w:color="auto" w:sz="4" w:space="0"/>
            </w:tcBorders>
            <w:shd w:val="clear" w:color="000000" w:fill="FFFFFF"/>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网络连接方式</w:t>
            </w:r>
          </w:p>
        </w:tc>
        <w:tc>
          <w:tcPr>
            <w:tcW w:w="3570" w:type="pct"/>
            <w:tcBorders>
              <w:top w:val="nil"/>
              <w:left w:val="nil"/>
              <w:bottom w:val="single" w:color="auto" w:sz="4" w:space="0"/>
              <w:right w:val="single" w:color="auto" w:sz="4" w:space="0"/>
            </w:tcBorders>
            <w:shd w:val="clear" w:color="000000" w:fill="FFFFFF"/>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有线+无线</w:t>
            </w:r>
          </w:p>
        </w:tc>
      </w:tr>
      <w:tr>
        <w:tblPrEx>
          <w:tblCellMar>
            <w:top w:w="0" w:type="dxa"/>
            <w:left w:w="108" w:type="dxa"/>
            <w:bottom w:w="0" w:type="dxa"/>
            <w:right w:w="108" w:type="dxa"/>
          </w:tblCellMar>
        </w:tblPrEx>
        <w:tc>
          <w:tcPr>
            <w:tcW w:w="1430" w:type="pct"/>
            <w:tcBorders>
              <w:top w:val="nil"/>
              <w:left w:val="single" w:color="auto" w:sz="4" w:space="0"/>
              <w:bottom w:val="single" w:color="auto" w:sz="4" w:space="0"/>
              <w:right w:val="single" w:color="auto" w:sz="4" w:space="0"/>
            </w:tcBorders>
            <w:shd w:val="clear" w:color="000000" w:fill="FFFFFF"/>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电视操作系统</w:t>
            </w:r>
          </w:p>
        </w:tc>
        <w:tc>
          <w:tcPr>
            <w:tcW w:w="3570" w:type="pct"/>
            <w:tcBorders>
              <w:top w:val="nil"/>
              <w:left w:val="nil"/>
              <w:bottom w:val="single" w:color="auto" w:sz="4" w:space="0"/>
              <w:right w:val="single" w:color="auto" w:sz="4" w:space="0"/>
            </w:tcBorders>
            <w:shd w:val="clear" w:color="000000" w:fill="FFFFFF"/>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不支持</w:t>
            </w:r>
          </w:p>
        </w:tc>
      </w:tr>
      <w:tr>
        <w:tblPrEx>
          <w:tblCellMar>
            <w:top w:w="0" w:type="dxa"/>
            <w:left w:w="108" w:type="dxa"/>
            <w:bottom w:w="0" w:type="dxa"/>
            <w:right w:w="108" w:type="dxa"/>
          </w:tblCellMar>
        </w:tblPrEx>
        <w:tc>
          <w:tcPr>
            <w:tcW w:w="1430" w:type="pct"/>
            <w:tcBorders>
              <w:top w:val="nil"/>
              <w:left w:val="single" w:color="auto" w:sz="4" w:space="0"/>
              <w:bottom w:val="single" w:color="auto" w:sz="4" w:space="0"/>
              <w:right w:val="single" w:color="auto" w:sz="4" w:space="0"/>
            </w:tcBorders>
            <w:shd w:val="clear" w:color="000000" w:fill="FFFFFF"/>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电源电压</w:t>
            </w:r>
          </w:p>
        </w:tc>
        <w:tc>
          <w:tcPr>
            <w:tcW w:w="3570" w:type="pct"/>
            <w:tcBorders>
              <w:top w:val="nil"/>
              <w:left w:val="nil"/>
              <w:bottom w:val="single" w:color="auto" w:sz="4" w:space="0"/>
              <w:right w:val="single" w:color="auto" w:sz="4" w:space="0"/>
            </w:tcBorders>
            <w:shd w:val="clear" w:color="000000" w:fill="FFFFFF"/>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220</w:t>
            </w:r>
          </w:p>
        </w:tc>
      </w:tr>
      <w:tr>
        <w:tblPrEx>
          <w:tblCellMar>
            <w:top w:w="0" w:type="dxa"/>
            <w:left w:w="108" w:type="dxa"/>
            <w:bottom w:w="0" w:type="dxa"/>
            <w:right w:w="108" w:type="dxa"/>
          </w:tblCellMar>
        </w:tblPrEx>
        <w:tc>
          <w:tcPr>
            <w:tcW w:w="1430" w:type="pct"/>
            <w:tcBorders>
              <w:top w:val="nil"/>
              <w:left w:val="single" w:color="auto" w:sz="4" w:space="0"/>
              <w:bottom w:val="single" w:color="auto" w:sz="4" w:space="0"/>
              <w:right w:val="single" w:color="auto" w:sz="4" w:space="0"/>
            </w:tcBorders>
            <w:shd w:val="clear" w:color="000000" w:fill="FFFFFF"/>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整机功率</w:t>
            </w:r>
          </w:p>
        </w:tc>
        <w:tc>
          <w:tcPr>
            <w:tcW w:w="3570" w:type="pct"/>
            <w:tcBorders>
              <w:top w:val="nil"/>
              <w:left w:val="nil"/>
              <w:bottom w:val="single" w:color="auto" w:sz="4" w:space="0"/>
              <w:right w:val="single" w:color="auto" w:sz="4" w:space="0"/>
            </w:tcBorders>
            <w:shd w:val="clear" w:color="000000" w:fill="FFFFFF"/>
            <w:vAlign w:val="center"/>
          </w:tcPr>
          <w:p>
            <w:pPr>
              <w:adjustRightInd w:val="0"/>
              <w:snapToGrid w:val="0"/>
              <w:jc w:val="center"/>
              <w:rPr>
                <w:rFonts w:ascii="宋体" w:hAnsi="宋体" w:cs="宋体"/>
                <w:snapToGrid w:val="0"/>
                <w:kern w:val="0"/>
                <w:szCs w:val="21"/>
              </w:rPr>
            </w:pPr>
            <w:r>
              <w:rPr>
                <w:rFonts w:hint="eastAsia" w:ascii="宋体" w:hAnsi="宋体" w:cs="宋体"/>
                <w:snapToGrid w:val="0"/>
                <w:kern w:val="0"/>
                <w:szCs w:val="21"/>
              </w:rPr>
              <w:t>285W</w:t>
            </w:r>
          </w:p>
        </w:tc>
      </w:tr>
    </w:tbl>
    <w:p>
      <w:pPr>
        <w:bidi w:val="0"/>
        <w:rPr>
          <w:rFonts w:hint="eastAsia" w:ascii="宋体" w:hAnsi="宋体" w:eastAsia="宋体" w:cs="宋体"/>
          <w:b/>
          <w:bCs/>
          <w:sz w:val="24"/>
          <w:szCs w:val="24"/>
        </w:rPr>
      </w:pPr>
      <w:bookmarkStart w:id="187" w:name="_Toc421892346"/>
      <w:bookmarkStart w:id="188" w:name="_Toc31791932"/>
      <w:r>
        <w:rPr>
          <w:rFonts w:hint="eastAsia" w:ascii="宋体" w:hAnsi="宋体" w:eastAsia="宋体" w:cs="宋体"/>
          <w:b/>
          <w:bCs/>
          <w:sz w:val="24"/>
          <w:szCs w:val="24"/>
        </w:rPr>
        <w:t xml:space="preserve">3 </w:t>
      </w:r>
      <w:bookmarkEnd w:id="187"/>
      <w:r>
        <w:rPr>
          <w:rFonts w:hint="eastAsia" w:ascii="宋体" w:hAnsi="宋体" w:eastAsia="宋体" w:cs="宋体"/>
          <w:b/>
          <w:bCs/>
          <w:sz w:val="24"/>
          <w:szCs w:val="24"/>
        </w:rPr>
        <w:t xml:space="preserve"> 通信系统设备技术规范</w:t>
      </w:r>
      <w:bookmarkEnd w:id="188"/>
    </w:p>
    <w:p>
      <w:pPr>
        <w:adjustRightInd w:val="0"/>
        <w:snapToGrid w:val="0"/>
        <w:spacing w:line="400" w:lineRule="exact"/>
        <w:ind w:firstLine="480" w:firstLineChars="200"/>
        <w:rPr>
          <w:rFonts w:ascii="宋体" w:hAnsi="宋体"/>
          <w:snapToGrid w:val="0"/>
          <w:kern w:val="0"/>
          <w:sz w:val="24"/>
          <w:szCs w:val="24"/>
        </w:rPr>
      </w:pPr>
      <w:bookmarkStart w:id="189" w:name="_Toc421892347"/>
      <w:r>
        <w:rPr>
          <w:rFonts w:hint="eastAsia" w:ascii="宋体" w:hAnsi="宋体"/>
          <w:snapToGrid w:val="0"/>
          <w:kern w:val="0"/>
          <w:sz w:val="24"/>
          <w:szCs w:val="24"/>
        </w:rPr>
        <w:t>3</w:t>
      </w:r>
      <w:r>
        <w:rPr>
          <w:rFonts w:ascii="宋体" w:hAnsi="宋体"/>
          <w:snapToGrid w:val="0"/>
          <w:kern w:val="0"/>
          <w:sz w:val="24"/>
          <w:szCs w:val="24"/>
        </w:rPr>
        <w:t>.1</w:t>
      </w:r>
      <w:r>
        <w:rPr>
          <w:rFonts w:hint="eastAsia" w:ascii="宋体" w:hAnsi="宋体"/>
          <w:snapToGrid w:val="0"/>
          <w:kern w:val="0"/>
          <w:sz w:val="24"/>
          <w:szCs w:val="24"/>
        </w:rPr>
        <w:t xml:space="preserve">  总则</w:t>
      </w:r>
      <w:bookmarkEnd w:id="189"/>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1</w:t>
      </w:r>
      <w:r>
        <w:rPr>
          <w:rFonts w:hint="eastAsia" w:ascii="宋体" w:hAnsi="宋体"/>
          <w:snapToGrid w:val="0"/>
          <w:kern w:val="0"/>
          <w:sz w:val="24"/>
          <w:szCs w:val="24"/>
        </w:rPr>
        <w:t>）本设备技术规范适用于</w:t>
      </w:r>
      <w:r>
        <w:rPr>
          <w:rFonts w:hint="eastAsia" w:ascii="宋体" w:hAnsi="宋体"/>
          <w:i/>
          <w:snapToGrid w:val="0"/>
          <w:kern w:val="0"/>
          <w:sz w:val="24"/>
          <w:szCs w:val="24"/>
        </w:rPr>
        <w:t>大安片区渠系闸门光通</w:t>
      </w:r>
      <w:r>
        <w:rPr>
          <w:rFonts w:hint="eastAsia" w:ascii="宋体" w:hAnsi="宋体"/>
          <w:snapToGrid w:val="0"/>
          <w:kern w:val="0"/>
          <w:sz w:val="24"/>
          <w:szCs w:val="24"/>
        </w:rPr>
        <w:t>信设备、通信电源、综合配线架等设备及其附属设备的设计、制造、型式和出厂试验、出厂前组装检查；包装、运输及交货；提供技术文件和资料；现场指导安装、试验、交接验收、试运行；技术培训、协调和配合等工作。</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2</w:t>
      </w:r>
      <w:r>
        <w:rPr>
          <w:rFonts w:hint="eastAsia" w:ascii="宋体" w:hAnsi="宋体"/>
          <w:snapToGrid w:val="0"/>
          <w:kern w:val="0"/>
          <w:sz w:val="24"/>
          <w:szCs w:val="24"/>
        </w:rPr>
        <w:t>）本设备技术规范并未对一切技术细节作出规定，也未充分引述有关标准和规范的条文，卖方应提供符合本技术规范和最新</w:t>
      </w:r>
      <w:r>
        <w:rPr>
          <w:rFonts w:ascii="宋体" w:hAnsi="宋体"/>
          <w:snapToGrid w:val="0"/>
          <w:kern w:val="0"/>
          <w:sz w:val="24"/>
          <w:szCs w:val="24"/>
        </w:rPr>
        <w:t>GB</w:t>
      </w:r>
      <w:r>
        <w:rPr>
          <w:rFonts w:hint="eastAsia" w:ascii="宋体" w:hAnsi="宋体"/>
          <w:snapToGrid w:val="0"/>
          <w:kern w:val="0"/>
          <w:sz w:val="24"/>
          <w:szCs w:val="24"/>
        </w:rPr>
        <w:t>、</w:t>
      </w:r>
      <w:r>
        <w:rPr>
          <w:rFonts w:ascii="宋体" w:hAnsi="宋体"/>
          <w:snapToGrid w:val="0"/>
          <w:kern w:val="0"/>
          <w:sz w:val="24"/>
          <w:szCs w:val="24"/>
        </w:rPr>
        <w:t>DL</w:t>
      </w:r>
      <w:r>
        <w:rPr>
          <w:rFonts w:hint="eastAsia" w:ascii="宋体" w:hAnsi="宋体"/>
          <w:snapToGrid w:val="0"/>
          <w:kern w:val="0"/>
          <w:sz w:val="24"/>
          <w:szCs w:val="24"/>
        </w:rPr>
        <w:t>、</w:t>
      </w:r>
      <w:r>
        <w:rPr>
          <w:rFonts w:ascii="宋体" w:hAnsi="宋体"/>
          <w:snapToGrid w:val="0"/>
          <w:kern w:val="0"/>
          <w:sz w:val="24"/>
          <w:szCs w:val="24"/>
        </w:rPr>
        <w:t>SL</w:t>
      </w:r>
      <w:r>
        <w:rPr>
          <w:rFonts w:hint="eastAsia" w:ascii="宋体" w:hAnsi="宋体"/>
          <w:snapToGrid w:val="0"/>
          <w:kern w:val="0"/>
          <w:sz w:val="24"/>
          <w:szCs w:val="24"/>
        </w:rPr>
        <w:t>、</w:t>
      </w:r>
      <w:r>
        <w:rPr>
          <w:rFonts w:ascii="宋体" w:hAnsi="宋体"/>
          <w:snapToGrid w:val="0"/>
          <w:kern w:val="0"/>
          <w:sz w:val="24"/>
          <w:szCs w:val="24"/>
        </w:rPr>
        <w:t>IEC</w:t>
      </w:r>
      <w:r>
        <w:rPr>
          <w:rFonts w:hint="eastAsia" w:ascii="宋体" w:hAnsi="宋体"/>
          <w:snapToGrid w:val="0"/>
          <w:kern w:val="0"/>
          <w:sz w:val="24"/>
          <w:szCs w:val="24"/>
        </w:rPr>
        <w:t>等标准的优质产品。</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3</w:t>
      </w:r>
      <w:r>
        <w:rPr>
          <w:rFonts w:hint="eastAsia" w:ascii="宋体" w:hAnsi="宋体"/>
          <w:snapToGrid w:val="0"/>
          <w:kern w:val="0"/>
          <w:sz w:val="24"/>
          <w:szCs w:val="24"/>
        </w:rPr>
        <w:t>）如果卖方没有以书面形式对本技术规范的条文提出偏差，则买方认为卖方提供的设备完全符合本技术规范的要求。如有异议，不管多么微小，都应在投标文件的</w:t>
      </w:r>
      <w:r>
        <w:rPr>
          <w:rFonts w:ascii="宋体" w:hAnsi="宋体"/>
          <w:snapToGrid w:val="0"/>
          <w:kern w:val="0"/>
          <w:sz w:val="24"/>
          <w:szCs w:val="24"/>
        </w:rPr>
        <w:t>“</w:t>
      </w:r>
      <w:r>
        <w:rPr>
          <w:rFonts w:hint="eastAsia" w:ascii="宋体" w:hAnsi="宋体"/>
          <w:snapToGrid w:val="0"/>
          <w:kern w:val="0"/>
          <w:sz w:val="24"/>
          <w:szCs w:val="24"/>
        </w:rPr>
        <w:t>偏差表</w:t>
      </w:r>
      <w:r>
        <w:rPr>
          <w:rFonts w:ascii="宋体" w:hAnsi="宋体"/>
          <w:snapToGrid w:val="0"/>
          <w:kern w:val="0"/>
          <w:sz w:val="24"/>
          <w:szCs w:val="24"/>
        </w:rPr>
        <w:t>”</w:t>
      </w:r>
      <w:r>
        <w:rPr>
          <w:rFonts w:hint="eastAsia" w:ascii="宋体" w:hAnsi="宋体"/>
          <w:snapToGrid w:val="0"/>
          <w:kern w:val="0"/>
          <w:sz w:val="24"/>
          <w:szCs w:val="24"/>
        </w:rPr>
        <w:t>中加以详细描述。</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4</w:t>
      </w:r>
      <w:r>
        <w:rPr>
          <w:rFonts w:hint="eastAsia" w:ascii="宋体" w:hAnsi="宋体"/>
          <w:snapToGrid w:val="0"/>
          <w:kern w:val="0"/>
          <w:sz w:val="24"/>
          <w:szCs w:val="24"/>
        </w:rPr>
        <w:t>）本设备技术规范所使用的标准如遇与卖方所执行的标准不一致时，按较高标准执行。本技术规范书未涉及的参数、技术要求和试验标准按</w:t>
      </w:r>
      <w:r>
        <w:rPr>
          <w:rFonts w:ascii="宋体" w:hAnsi="宋体"/>
          <w:snapToGrid w:val="0"/>
          <w:kern w:val="0"/>
          <w:sz w:val="24"/>
          <w:szCs w:val="24"/>
        </w:rPr>
        <w:t>GB</w:t>
      </w:r>
      <w:r>
        <w:rPr>
          <w:rFonts w:hint="eastAsia" w:ascii="宋体" w:hAnsi="宋体"/>
          <w:snapToGrid w:val="0"/>
          <w:kern w:val="0"/>
          <w:sz w:val="24"/>
          <w:szCs w:val="24"/>
        </w:rPr>
        <w:t>、</w:t>
      </w:r>
      <w:r>
        <w:rPr>
          <w:rFonts w:ascii="宋体" w:hAnsi="宋体"/>
          <w:snapToGrid w:val="0"/>
          <w:kern w:val="0"/>
          <w:sz w:val="24"/>
          <w:szCs w:val="24"/>
        </w:rPr>
        <w:t>DL</w:t>
      </w:r>
      <w:r>
        <w:rPr>
          <w:rFonts w:hint="eastAsia" w:ascii="宋体" w:hAnsi="宋体"/>
          <w:snapToGrid w:val="0"/>
          <w:kern w:val="0"/>
          <w:sz w:val="24"/>
          <w:szCs w:val="24"/>
        </w:rPr>
        <w:t>、</w:t>
      </w:r>
      <w:r>
        <w:rPr>
          <w:rFonts w:ascii="宋体" w:hAnsi="宋体"/>
          <w:snapToGrid w:val="0"/>
          <w:kern w:val="0"/>
          <w:sz w:val="24"/>
          <w:szCs w:val="24"/>
        </w:rPr>
        <w:t>SL</w:t>
      </w:r>
      <w:r>
        <w:rPr>
          <w:rFonts w:hint="eastAsia" w:ascii="宋体" w:hAnsi="宋体"/>
          <w:snapToGrid w:val="0"/>
          <w:kern w:val="0"/>
          <w:sz w:val="24"/>
          <w:szCs w:val="24"/>
        </w:rPr>
        <w:t>、</w:t>
      </w:r>
      <w:r>
        <w:rPr>
          <w:rFonts w:ascii="宋体" w:hAnsi="宋体"/>
          <w:snapToGrid w:val="0"/>
          <w:kern w:val="0"/>
          <w:sz w:val="24"/>
          <w:szCs w:val="24"/>
        </w:rPr>
        <w:t>IEC</w:t>
      </w:r>
      <w:r>
        <w:rPr>
          <w:rFonts w:hint="eastAsia" w:ascii="宋体" w:hAnsi="宋体"/>
          <w:snapToGrid w:val="0"/>
          <w:kern w:val="0"/>
          <w:sz w:val="24"/>
          <w:szCs w:val="24"/>
        </w:rPr>
        <w:t>现行标准中的最高要求执行。</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5</w:t>
      </w:r>
      <w:r>
        <w:rPr>
          <w:rFonts w:hint="eastAsia" w:ascii="宋体" w:hAnsi="宋体"/>
          <w:snapToGrid w:val="0"/>
          <w:kern w:val="0"/>
          <w:sz w:val="24"/>
          <w:szCs w:val="24"/>
        </w:rPr>
        <w:t>）卖方应负责将设备运输至业主指定仓库（包括仓库卸货）交货，并负责使设备在任何运输形式下不受损坏。所有部件的装运，应做到便于卸货、搬运和现场安装。</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6</w:t>
      </w:r>
      <w:r>
        <w:rPr>
          <w:rFonts w:hint="eastAsia" w:ascii="宋体" w:hAnsi="宋体"/>
          <w:snapToGrid w:val="0"/>
          <w:kern w:val="0"/>
          <w:sz w:val="24"/>
          <w:szCs w:val="24"/>
        </w:rPr>
        <w:t>）卖方应派足够的专业人员从事安装及现场试验的技术服务工作，技术服务费用将包括在总价内。</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7</w:t>
      </w:r>
      <w:r>
        <w:rPr>
          <w:rFonts w:hint="eastAsia" w:ascii="宋体" w:hAnsi="宋体"/>
          <w:snapToGrid w:val="0"/>
          <w:kern w:val="0"/>
          <w:sz w:val="24"/>
          <w:szCs w:val="24"/>
        </w:rPr>
        <w:t>）本技术规范书经买卖双方确认后作为订货合同的技术附件，与合同正文具有同等的法律效力。</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8</w:t>
      </w:r>
      <w:r>
        <w:rPr>
          <w:rFonts w:hint="eastAsia" w:ascii="宋体" w:hAnsi="宋体"/>
          <w:snapToGrid w:val="0"/>
          <w:kern w:val="0"/>
          <w:sz w:val="24"/>
          <w:szCs w:val="24"/>
        </w:rPr>
        <w:t>）本技术规范书未尽事宜，由买、卖双方协商确定。</w:t>
      </w:r>
    </w:p>
    <w:p>
      <w:pPr>
        <w:adjustRightInd w:val="0"/>
        <w:snapToGrid w:val="0"/>
        <w:spacing w:line="400" w:lineRule="exact"/>
        <w:ind w:firstLine="480" w:firstLineChars="200"/>
        <w:rPr>
          <w:rFonts w:ascii="宋体" w:hAnsi="宋体"/>
          <w:snapToGrid w:val="0"/>
          <w:kern w:val="0"/>
          <w:sz w:val="24"/>
          <w:szCs w:val="24"/>
        </w:rPr>
      </w:pPr>
      <w:bookmarkStart w:id="190" w:name="_Toc421892348"/>
      <w:r>
        <w:rPr>
          <w:rFonts w:hint="eastAsia" w:ascii="宋体" w:hAnsi="宋体"/>
          <w:snapToGrid w:val="0"/>
          <w:kern w:val="0"/>
          <w:sz w:val="24"/>
          <w:szCs w:val="24"/>
        </w:rPr>
        <w:t>3</w:t>
      </w:r>
      <w:r>
        <w:rPr>
          <w:rFonts w:ascii="宋体" w:hAnsi="宋体"/>
          <w:snapToGrid w:val="0"/>
          <w:kern w:val="0"/>
          <w:sz w:val="24"/>
          <w:szCs w:val="24"/>
        </w:rPr>
        <w:t>.2</w:t>
      </w:r>
      <w:r>
        <w:rPr>
          <w:rFonts w:hint="eastAsia" w:ascii="宋体" w:hAnsi="宋体"/>
          <w:snapToGrid w:val="0"/>
          <w:kern w:val="0"/>
          <w:sz w:val="24"/>
          <w:szCs w:val="24"/>
        </w:rPr>
        <w:t xml:space="preserve">  工程概况</w:t>
      </w:r>
      <w:bookmarkEnd w:id="190"/>
    </w:p>
    <w:p>
      <w:pPr>
        <w:adjustRightInd w:val="0"/>
        <w:snapToGrid w:val="0"/>
        <w:spacing w:line="400" w:lineRule="exact"/>
        <w:ind w:firstLine="480" w:firstLineChars="200"/>
        <w:rPr>
          <w:rFonts w:hint="eastAsia" w:ascii="宋体" w:hAnsi="宋体"/>
          <w:snapToGrid w:val="0"/>
          <w:kern w:val="0"/>
          <w:sz w:val="24"/>
          <w:szCs w:val="24"/>
        </w:rPr>
      </w:pPr>
      <w:bookmarkStart w:id="191" w:name="_Toc31791933"/>
      <w:r>
        <w:rPr>
          <w:rFonts w:hint="eastAsia" w:ascii="宋体" w:hAnsi="宋体"/>
          <w:snapToGrid w:val="0"/>
          <w:kern w:val="0"/>
          <w:sz w:val="24"/>
          <w:szCs w:val="24"/>
        </w:rPr>
        <w:t>3.2.1  工程概况</w:t>
      </w:r>
      <w:bookmarkEnd w:id="191"/>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电力系统通信</w:t>
      </w:r>
      <w:r>
        <w:rPr>
          <w:rFonts w:ascii="宋体" w:hAnsi="宋体"/>
          <w:snapToGrid w:val="0"/>
          <w:kern w:val="0"/>
          <w:sz w:val="24"/>
          <w:szCs w:val="24"/>
        </w:rPr>
        <w:t>采用</w:t>
      </w:r>
      <w:r>
        <w:rPr>
          <w:rFonts w:hint="eastAsia" w:ascii="宋体" w:hAnsi="宋体"/>
          <w:snapToGrid w:val="0"/>
          <w:kern w:val="0"/>
          <w:sz w:val="24"/>
          <w:szCs w:val="24"/>
        </w:rPr>
        <w:t>光纤通信方式。利用各泵站站到所控制闸门架设的复合光缆通道作为主要通信方式，用于传送调度、保护、远动及图像信息。两端配置光传输设备。</w:t>
      </w:r>
    </w:p>
    <w:p>
      <w:pPr>
        <w:adjustRightInd w:val="0"/>
        <w:snapToGrid w:val="0"/>
        <w:spacing w:line="400" w:lineRule="exact"/>
        <w:ind w:firstLine="480" w:firstLineChars="200"/>
        <w:rPr>
          <w:rFonts w:hint="eastAsia" w:ascii="宋体" w:hAnsi="宋体"/>
          <w:snapToGrid w:val="0"/>
          <w:kern w:val="0"/>
          <w:sz w:val="24"/>
          <w:szCs w:val="24"/>
        </w:rPr>
      </w:pPr>
      <w:bookmarkStart w:id="192" w:name="_Toc31791934"/>
      <w:r>
        <w:rPr>
          <w:rFonts w:hint="eastAsia" w:ascii="宋体" w:hAnsi="宋体"/>
          <w:snapToGrid w:val="0"/>
          <w:kern w:val="0"/>
          <w:sz w:val="24"/>
          <w:szCs w:val="24"/>
        </w:rPr>
        <w:t>3.2.2  泵站、闸门用电</w:t>
      </w:r>
      <w:bookmarkEnd w:id="192"/>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1</w:t>
      </w:r>
      <w:r>
        <w:rPr>
          <w:rFonts w:hint="eastAsia" w:ascii="宋体" w:hAnsi="宋体"/>
          <w:snapToGrid w:val="0"/>
          <w:kern w:val="0"/>
          <w:sz w:val="24"/>
          <w:szCs w:val="24"/>
        </w:rPr>
        <w:t>）交流电源</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闸门用交流电源为三相四线制，</w:t>
      </w:r>
      <w:r>
        <w:rPr>
          <w:rFonts w:ascii="宋体" w:hAnsi="宋体"/>
          <w:snapToGrid w:val="0"/>
          <w:kern w:val="0"/>
          <w:sz w:val="24"/>
          <w:szCs w:val="24"/>
        </w:rPr>
        <w:t>380V/220V</w:t>
      </w:r>
      <w:r>
        <w:rPr>
          <w:rFonts w:hint="eastAsia" w:ascii="宋体" w:hAnsi="宋体"/>
          <w:snapToGrid w:val="0"/>
          <w:kern w:val="0"/>
          <w:sz w:val="24"/>
          <w:szCs w:val="24"/>
        </w:rPr>
        <w:t>，</w:t>
      </w:r>
      <w:r>
        <w:rPr>
          <w:rFonts w:ascii="宋体" w:hAnsi="宋体"/>
          <w:snapToGrid w:val="0"/>
          <w:kern w:val="0"/>
          <w:sz w:val="24"/>
          <w:szCs w:val="24"/>
        </w:rPr>
        <w:t>50Hz</w:t>
      </w:r>
      <w:r>
        <w:rPr>
          <w:rFonts w:hint="eastAsia" w:ascii="宋体" w:hAnsi="宋体"/>
          <w:snapToGrid w:val="0"/>
          <w:kern w:val="0"/>
          <w:sz w:val="24"/>
          <w:szCs w:val="24"/>
        </w:rPr>
        <w:t>，电压波动范围为</w:t>
      </w:r>
      <w:r>
        <w:rPr>
          <w:rFonts w:ascii="宋体" w:hAnsi="宋体"/>
          <w:snapToGrid w:val="0"/>
          <w:kern w:val="0"/>
          <w:sz w:val="24"/>
          <w:szCs w:val="24"/>
        </w:rPr>
        <w:t>±15%</w:t>
      </w:r>
      <w:r>
        <w:rPr>
          <w:rFonts w:hint="eastAsia" w:ascii="宋体" w:hAnsi="宋体"/>
          <w:snapToGrid w:val="0"/>
          <w:kern w:val="0"/>
          <w:sz w:val="24"/>
          <w:szCs w:val="24"/>
        </w:rPr>
        <w:t>；；频率波动范围为±</w:t>
      </w:r>
      <w:r>
        <w:rPr>
          <w:rFonts w:ascii="宋体" w:hAnsi="宋体"/>
          <w:snapToGrid w:val="0"/>
          <w:kern w:val="0"/>
          <w:sz w:val="24"/>
          <w:szCs w:val="24"/>
        </w:rPr>
        <w:t>1Hz</w:t>
      </w:r>
      <w:r>
        <w:rPr>
          <w:rFonts w:hint="eastAsia" w:ascii="宋体" w:hAnsi="宋体"/>
          <w:snapToGrid w:val="0"/>
          <w:kern w:val="0"/>
          <w:sz w:val="24"/>
          <w:szCs w:val="24"/>
        </w:rPr>
        <w:t>。</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w:t>
      </w:r>
      <w:r>
        <w:rPr>
          <w:rFonts w:ascii="宋体" w:hAnsi="宋体"/>
          <w:snapToGrid w:val="0"/>
          <w:kern w:val="0"/>
          <w:sz w:val="24"/>
          <w:szCs w:val="24"/>
        </w:rPr>
        <w:t>2</w:t>
      </w:r>
      <w:r>
        <w:rPr>
          <w:rFonts w:hint="eastAsia" w:ascii="宋体" w:hAnsi="宋体"/>
          <w:snapToGrid w:val="0"/>
          <w:kern w:val="0"/>
          <w:sz w:val="24"/>
          <w:szCs w:val="24"/>
        </w:rPr>
        <w:t>）直流电源</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电压</w:t>
      </w:r>
      <w:r>
        <w:rPr>
          <w:rFonts w:ascii="宋体" w:hAnsi="宋体"/>
          <w:snapToGrid w:val="0"/>
          <w:kern w:val="0"/>
          <w:sz w:val="24"/>
          <w:szCs w:val="24"/>
        </w:rPr>
        <w:t>220V</w:t>
      </w:r>
      <w:r>
        <w:rPr>
          <w:rFonts w:hint="eastAsia" w:ascii="宋体" w:hAnsi="宋体"/>
          <w:snapToGrid w:val="0"/>
          <w:kern w:val="0"/>
          <w:sz w:val="24"/>
          <w:szCs w:val="24"/>
        </w:rPr>
        <w:t>。电压偏差范围为</w:t>
      </w:r>
      <w:r>
        <w:rPr>
          <w:rFonts w:ascii="宋体" w:hAnsi="宋体"/>
          <w:snapToGrid w:val="0"/>
          <w:kern w:val="0"/>
          <w:sz w:val="24"/>
          <w:szCs w:val="24"/>
        </w:rPr>
        <w:t>-10%</w:t>
      </w:r>
      <w:r>
        <w:rPr>
          <w:rFonts w:hint="eastAsia" w:ascii="宋体" w:hAnsi="宋体"/>
          <w:snapToGrid w:val="0"/>
          <w:kern w:val="0"/>
          <w:sz w:val="24"/>
          <w:szCs w:val="24"/>
        </w:rPr>
        <w:t>～</w:t>
      </w:r>
      <w:r>
        <w:rPr>
          <w:rFonts w:ascii="宋体" w:hAnsi="宋体"/>
          <w:snapToGrid w:val="0"/>
          <w:kern w:val="0"/>
          <w:sz w:val="24"/>
          <w:szCs w:val="24"/>
        </w:rPr>
        <w:t>+5%</w:t>
      </w:r>
      <w:r>
        <w:rPr>
          <w:rFonts w:hint="eastAsia" w:ascii="宋体" w:hAnsi="宋体"/>
          <w:snapToGrid w:val="0"/>
          <w:kern w:val="0"/>
          <w:sz w:val="24"/>
          <w:szCs w:val="24"/>
        </w:rPr>
        <w:t>。</w:t>
      </w:r>
    </w:p>
    <w:p>
      <w:pPr>
        <w:adjustRightInd w:val="0"/>
        <w:snapToGrid w:val="0"/>
        <w:spacing w:line="400" w:lineRule="exact"/>
        <w:ind w:firstLine="480" w:firstLineChars="200"/>
        <w:rPr>
          <w:rFonts w:ascii="宋体" w:hAnsi="宋体"/>
          <w:snapToGrid w:val="0"/>
          <w:kern w:val="0"/>
          <w:sz w:val="24"/>
          <w:szCs w:val="24"/>
        </w:rPr>
      </w:pPr>
      <w:bookmarkStart w:id="193" w:name="_Toc421892349"/>
      <w:r>
        <w:rPr>
          <w:rFonts w:hint="eastAsia" w:ascii="宋体" w:hAnsi="宋体"/>
          <w:snapToGrid w:val="0"/>
          <w:kern w:val="0"/>
          <w:sz w:val="24"/>
          <w:szCs w:val="24"/>
        </w:rPr>
        <w:t>3</w:t>
      </w:r>
      <w:r>
        <w:rPr>
          <w:rFonts w:ascii="宋体" w:hAnsi="宋体"/>
          <w:snapToGrid w:val="0"/>
          <w:kern w:val="0"/>
          <w:sz w:val="24"/>
          <w:szCs w:val="24"/>
        </w:rPr>
        <w:t>.3</w:t>
      </w:r>
      <w:r>
        <w:rPr>
          <w:rFonts w:hint="eastAsia" w:ascii="宋体" w:hAnsi="宋体"/>
          <w:snapToGrid w:val="0"/>
          <w:kern w:val="0"/>
          <w:sz w:val="24"/>
          <w:szCs w:val="24"/>
        </w:rPr>
        <w:t xml:space="preserve">  工作内容及供货范围</w:t>
      </w:r>
      <w:bookmarkEnd w:id="193"/>
    </w:p>
    <w:p>
      <w:pPr>
        <w:adjustRightInd w:val="0"/>
        <w:snapToGrid w:val="0"/>
        <w:spacing w:line="400" w:lineRule="exact"/>
        <w:ind w:firstLine="480" w:firstLineChars="200"/>
        <w:rPr>
          <w:rFonts w:hint="eastAsia" w:ascii="宋体" w:hAnsi="宋体"/>
          <w:snapToGrid w:val="0"/>
          <w:kern w:val="0"/>
          <w:sz w:val="24"/>
          <w:szCs w:val="24"/>
        </w:rPr>
      </w:pPr>
      <w:bookmarkStart w:id="194" w:name="_Toc31791935"/>
      <w:r>
        <w:rPr>
          <w:rFonts w:hint="eastAsia" w:ascii="宋体" w:hAnsi="宋体"/>
          <w:snapToGrid w:val="0"/>
          <w:kern w:val="0"/>
          <w:sz w:val="24"/>
          <w:szCs w:val="24"/>
        </w:rPr>
        <w:t>3.3.1  供货范围</w:t>
      </w:r>
      <w:bookmarkEnd w:id="194"/>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本项目设备供货范围如下：</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（1）渠系闸门间光通信设备、通信电源、综合配线架、通信设备间的通信缆线（包括通信电源至通信设备间的电源电缆）；</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（2）闸门通信设备的专用工具；</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（3）全套图纸、资料和技术文件。</w:t>
      </w:r>
    </w:p>
    <w:p>
      <w:pPr>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3</w:t>
      </w:r>
      <w:r>
        <w:rPr>
          <w:rFonts w:ascii="宋体" w:hAnsi="宋体"/>
          <w:snapToGrid w:val="0"/>
          <w:kern w:val="0"/>
          <w:sz w:val="24"/>
          <w:szCs w:val="24"/>
        </w:rPr>
        <w:t>.3.</w:t>
      </w:r>
      <w:r>
        <w:rPr>
          <w:rFonts w:hint="eastAsia" w:ascii="宋体" w:hAnsi="宋体"/>
          <w:snapToGrid w:val="0"/>
          <w:kern w:val="0"/>
          <w:sz w:val="24"/>
          <w:szCs w:val="24"/>
        </w:rPr>
        <w:t>2  通信设备及其附属设备详细列表</w:t>
      </w:r>
    </w:p>
    <w:p>
      <w:pPr>
        <w:autoSpaceDE w:val="0"/>
        <w:autoSpaceDN w:val="0"/>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渠系闸门侧通信电源及光纤传输设备</w:t>
      </w:r>
    </w:p>
    <w:p>
      <w:pPr>
        <w:tabs>
          <w:tab w:val="left" w:pos="2475"/>
          <w:tab w:val="center" w:pos="4535"/>
        </w:tabs>
        <w:autoSpaceDE w:val="0"/>
        <w:autoSpaceDN w:val="0"/>
        <w:adjustRightInd w:val="0"/>
        <w:snapToGrid w:val="0"/>
        <w:spacing w:line="400" w:lineRule="exact"/>
        <w:ind w:firstLine="480" w:firstLineChars="200"/>
        <w:rPr>
          <w:rFonts w:ascii="宋体" w:hAnsi="宋体"/>
          <w:snapToGrid w:val="0"/>
          <w:kern w:val="0"/>
          <w:sz w:val="24"/>
          <w:szCs w:val="24"/>
        </w:rPr>
      </w:pPr>
      <w:r>
        <w:rPr>
          <w:rFonts w:hint="eastAsia" w:ascii="宋体" w:hAnsi="宋体"/>
          <w:snapToGrid w:val="0"/>
          <w:kern w:val="0"/>
          <w:sz w:val="24"/>
          <w:szCs w:val="24"/>
        </w:rPr>
        <w:t>表</w:t>
      </w:r>
      <w:r>
        <w:rPr>
          <w:rFonts w:ascii="宋体" w:hAnsi="宋体"/>
          <w:snapToGrid w:val="0"/>
          <w:kern w:val="0"/>
          <w:sz w:val="24"/>
          <w:szCs w:val="24"/>
        </w:rPr>
        <w:t>3-</w:t>
      </w:r>
      <w:r>
        <w:rPr>
          <w:rFonts w:hint="eastAsia" w:ascii="宋体" w:hAnsi="宋体"/>
          <w:snapToGrid w:val="0"/>
          <w:kern w:val="0"/>
          <w:sz w:val="24"/>
          <w:szCs w:val="24"/>
        </w:rPr>
        <w:t>3-1</w:t>
      </w:r>
      <w:r>
        <w:rPr>
          <w:rFonts w:ascii="宋体" w:hAnsi="宋体"/>
          <w:snapToGrid w:val="0"/>
          <w:kern w:val="0"/>
          <w:sz w:val="24"/>
          <w:szCs w:val="24"/>
        </w:rPr>
        <w:t xml:space="preserve">  </w:t>
      </w:r>
    </w:p>
    <w:tbl>
      <w:tblPr>
        <w:tblStyle w:val="6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
        <w:gridCol w:w="4436"/>
        <w:gridCol w:w="976"/>
        <w:gridCol w:w="976"/>
        <w:gridCol w:w="2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07" w:type="pct"/>
            <w:vMerge w:val="restart"/>
            <w:shd w:val="clear" w:color="000000" w:fill="FFFFFF"/>
            <w:vAlign w:val="center"/>
          </w:tcPr>
          <w:p>
            <w:pPr>
              <w:pStyle w:val="228"/>
              <w:adjustRightInd w:val="0"/>
              <w:snapToGrid w:val="0"/>
              <w:ind w:firstLine="0" w:firstLineChars="0"/>
              <w:jc w:val="center"/>
              <w:rPr>
                <w:rFonts w:ascii="宋体" w:hAnsi="宋体" w:eastAsia="宋体"/>
                <w:snapToGrid w:val="0"/>
                <w:kern w:val="0"/>
                <w:szCs w:val="21"/>
              </w:rPr>
            </w:pPr>
            <w:r>
              <w:rPr>
                <w:rFonts w:ascii="宋体" w:hAnsi="宋体" w:eastAsia="宋体"/>
                <w:snapToGrid w:val="0"/>
                <w:kern w:val="0"/>
                <w:szCs w:val="21"/>
              </w:rPr>
              <w:t>序号</w:t>
            </w:r>
          </w:p>
        </w:tc>
        <w:tc>
          <w:tcPr>
            <w:tcW w:w="2305" w:type="pct"/>
            <w:vMerge w:val="restart"/>
            <w:shd w:val="clear" w:color="000000" w:fill="FFFFFF"/>
            <w:vAlign w:val="center"/>
          </w:tcPr>
          <w:p>
            <w:pPr>
              <w:pStyle w:val="228"/>
              <w:adjustRightInd w:val="0"/>
              <w:snapToGrid w:val="0"/>
              <w:ind w:firstLine="0" w:firstLineChars="0"/>
              <w:jc w:val="center"/>
              <w:rPr>
                <w:rFonts w:ascii="宋体" w:hAnsi="宋体" w:eastAsia="宋体"/>
                <w:snapToGrid w:val="0"/>
                <w:kern w:val="0"/>
                <w:szCs w:val="21"/>
              </w:rPr>
            </w:pPr>
            <w:r>
              <w:rPr>
                <w:rFonts w:ascii="宋体" w:hAnsi="宋体" w:eastAsia="宋体"/>
                <w:snapToGrid w:val="0"/>
                <w:kern w:val="0"/>
                <w:szCs w:val="21"/>
              </w:rPr>
              <w:t>设备名称</w:t>
            </w:r>
          </w:p>
        </w:tc>
        <w:tc>
          <w:tcPr>
            <w:tcW w:w="507" w:type="pct"/>
            <w:vMerge w:val="restart"/>
            <w:shd w:val="clear" w:color="000000" w:fill="FFFFFF"/>
            <w:vAlign w:val="center"/>
          </w:tcPr>
          <w:p>
            <w:pPr>
              <w:pStyle w:val="228"/>
              <w:adjustRightInd w:val="0"/>
              <w:snapToGrid w:val="0"/>
              <w:ind w:firstLine="0" w:firstLineChars="0"/>
              <w:jc w:val="center"/>
              <w:rPr>
                <w:rFonts w:ascii="宋体" w:hAnsi="宋体" w:eastAsia="宋体"/>
                <w:snapToGrid w:val="0"/>
                <w:kern w:val="0"/>
                <w:szCs w:val="21"/>
              </w:rPr>
            </w:pPr>
            <w:r>
              <w:rPr>
                <w:rFonts w:ascii="宋体" w:hAnsi="宋体" w:eastAsia="宋体"/>
                <w:snapToGrid w:val="0"/>
                <w:kern w:val="0"/>
                <w:szCs w:val="21"/>
              </w:rPr>
              <w:t>单位</w:t>
            </w:r>
          </w:p>
        </w:tc>
        <w:tc>
          <w:tcPr>
            <w:tcW w:w="507" w:type="pct"/>
            <w:vMerge w:val="restart"/>
            <w:shd w:val="clear" w:color="000000" w:fill="FFFFFF"/>
            <w:vAlign w:val="center"/>
          </w:tcPr>
          <w:p>
            <w:pPr>
              <w:pStyle w:val="228"/>
              <w:adjustRightInd w:val="0"/>
              <w:snapToGrid w:val="0"/>
              <w:ind w:firstLine="0" w:firstLineChars="0"/>
              <w:jc w:val="center"/>
              <w:rPr>
                <w:rFonts w:ascii="宋体" w:hAnsi="宋体" w:eastAsia="宋体"/>
                <w:snapToGrid w:val="0"/>
                <w:kern w:val="0"/>
                <w:szCs w:val="21"/>
              </w:rPr>
            </w:pPr>
            <w:r>
              <w:rPr>
                <w:rFonts w:hint="eastAsia" w:ascii="宋体" w:hAnsi="宋体" w:eastAsia="宋体"/>
                <w:snapToGrid w:val="0"/>
                <w:kern w:val="0"/>
                <w:szCs w:val="21"/>
              </w:rPr>
              <w:t>数量</w:t>
            </w:r>
          </w:p>
        </w:tc>
        <w:tc>
          <w:tcPr>
            <w:tcW w:w="1176" w:type="pct"/>
            <w:shd w:val="clear" w:color="000000" w:fill="FFFFFF"/>
            <w:vAlign w:val="center"/>
          </w:tcPr>
          <w:p>
            <w:pPr>
              <w:pStyle w:val="228"/>
              <w:adjustRightInd w:val="0"/>
              <w:snapToGrid w:val="0"/>
              <w:ind w:firstLine="0" w:firstLineChars="0"/>
              <w:jc w:val="center"/>
              <w:rPr>
                <w:rFonts w:ascii="宋体" w:hAnsi="宋体" w:eastAsia="宋体"/>
                <w:snapToGrid w:val="0"/>
                <w:kern w:val="0"/>
                <w:szCs w:val="21"/>
              </w:rPr>
            </w:pPr>
            <w:r>
              <w:rPr>
                <w:rFonts w:hint="eastAsia" w:ascii="宋体" w:hAnsi="宋体" w:eastAsia="宋体"/>
                <w:snapToGrid w:val="0"/>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07" w:type="pct"/>
            <w:vMerge w:val="continue"/>
            <w:shd w:val="clear" w:color="000000" w:fill="FFFFFF"/>
            <w:vAlign w:val="center"/>
          </w:tcPr>
          <w:p>
            <w:pPr>
              <w:pStyle w:val="228"/>
              <w:adjustRightInd w:val="0"/>
              <w:snapToGrid w:val="0"/>
              <w:ind w:firstLine="0" w:firstLineChars="0"/>
              <w:jc w:val="center"/>
              <w:rPr>
                <w:rFonts w:ascii="宋体" w:hAnsi="宋体" w:eastAsia="宋体"/>
                <w:snapToGrid w:val="0"/>
                <w:kern w:val="0"/>
                <w:szCs w:val="21"/>
              </w:rPr>
            </w:pPr>
          </w:p>
        </w:tc>
        <w:tc>
          <w:tcPr>
            <w:tcW w:w="2305" w:type="pct"/>
            <w:vMerge w:val="continue"/>
            <w:shd w:val="clear" w:color="000000" w:fill="FFFFFF"/>
            <w:vAlign w:val="center"/>
          </w:tcPr>
          <w:p>
            <w:pPr>
              <w:pStyle w:val="228"/>
              <w:adjustRightInd w:val="0"/>
              <w:snapToGrid w:val="0"/>
              <w:ind w:firstLine="0" w:firstLineChars="0"/>
              <w:jc w:val="center"/>
              <w:rPr>
                <w:rFonts w:ascii="宋体" w:hAnsi="宋体" w:eastAsia="宋体"/>
                <w:snapToGrid w:val="0"/>
                <w:kern w:val="0"/>
                <w:szCs w:val="21"/>
              </w:rPr>
            </w:pPr>
          </w:p>
        </w:tc>
        <w:tc>
          <w:tcPr>
            <w:tcW w:w="507" w:type="pct"/>
            <w:vMerge w:val="continue"/>
            <w:shd w:val="clear" w:color="000000" w:fill="FFFFFF"/>
            <w:vAlign w:val="center"/>
          </w:tcPr>
          <w:p>
            <w:pPr>
              <w:pStyle w:val="228"/>
              <w:adjustRightInd w:val="0"/>
              <w:snapToGrid w:val="0"/>
              <w:ind w:firstLine="0" w:firstLineChars="0"/>
              <w:jc w:val="center"/>
              <w:rPr>
                <w:rFonts w:ascii="宋体" w:hAnsi="宋体" w:eastAsia="宋体"/>
                <w:snapToGrid w:val="0"/>
                <w:kern w:val="0"/>
                <w:szCs w:val="21"/>
              </w:rPr>
            </w:pPr>
          </w:p>
        </w:tc>
        <w:tc>
          <w:tcPr>
            <w:tcW w:w="507" w:type="pct"/>
            <w:vMerge w:val="continue"/>
            <w:shd w:val="clear" w:color="000000" w:fill="FFFFFF"/>
            <w:vAlign w:val="center"/>
          </w:tcPr>
          <w:p>
            <w:pPr>
              <w:pStyle w:val="228"/>
              <w:adjustRightInd w:val="0"/>
              <w:snapToGrid w:val="0"/>
              <w:ind w:firstLine="0" w:firstLineChars="0"/>
              <w:jc w:val="center"/>
              <w:rPr>
                <w:rFonts w:ascii="宋体" w:hAnsi="宋体" w:eastAsia="宋体"/>
                <w:snapToGrid w:val="0"/>
                <w:kern w:val="0"/>
                <w:szCs w:val="21"/>
              </w:rPr>
            </w:pPr>
          </w:p>
        </w:tc>
        <w:tc>
          <w:tcPr>
            <w:tcW w:w="1176" w:type="pct"/>
            <w:shd w:val="clear" w:color="000000" w:fill="FFFFFF"/>
            <w:vAlign w:val="center"/>
          </w:tcPr>
          <w:p>
            <w:pPr>
              <w:pStyle w:val="228"/>
              <w:adjustRightInd w:val="0"/>
              <w:snapToGrid w:val="0"/>
              <w:ind w:firstLine="0" w:firstLineChars="0"/>
              <w:jc w:val="center"/>
              <w:rPr>
                <w:rFonts w:ascii="宋体" w:hAnsi="宋体" w:eastAsia="宋体"/>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pct"/>
            <w:shd w:val="clear" w:color="000000" w:fill="FFFFFF"/>
            <w:vAlign w:val="center"/>
          </w:tcPr>
          <w:p>
            <w:pPr>
              <w:pStyle w:val="228"/>
              <w:adjustRightInd w:val="0"/>
              <w:snapToGrid w:val="0"/>
              <w:ind w:firstLine="0" w:firstLineChars="0"/>
              <w:jc w:val="center"/>
              <w:rPr>
                <w:rFonts w:ascii="宋体" w:hAnsi="宋体" w:eastAsia="宋体"/>
                <w:snapToGrid w:val="0"/>
                <w:kern w:val="0"/>
                <w:szCs w:val="21"/>
              </w:rPr>
            </w:pPr>
            <w:r>
              <w:rPr>
                <w:rFonts w:hint="eastAsia" w:ascii="宋体" w:hAnsi="宋体" w:eastAsia="宋体"/>
                <w:snapToGrid w:val="0"/>
                <w:kern w:val="0"/>
                <w:szCs w:val="21"/>
              </w:rPr>
              <w:t>1</w:t>
            </w:r>
          </w:p>
        </w:tc>
        <w:tc>
          <w:tcPr>
            <w:tcW w:w="2305" w:type="pct"/>
            <w:shd w:val="clear" w:color="000000" w:fill="FFFFFF"/>
            <w:vAlign w:val="center"/>
          </w:tcPr>
          <w:p>
            <w:pPr>
              <w:pStyle w:val="228"/>
              <w:adjustRightInd w:val="0"/>
              <w:snapToGrid w:val="0"/>
              <w:ind w:firstLine="0" w:firstLineChars="0"/>
              <w:jc w:val="center"/>
              <w:rPr>
                <w:rFonts w:ascii="宋体" w:hAnsi="宋体" w:eastAsia="宋体"/>
                <w:snapToGrid w:val="0"/>
                <w:kern w:val="0"/>
                <w:szCs w:val="21"/>
              </w:rPr>
            </w:pPr>
            <w:r>
              <w:rPr>
                <w:rFonts w:hint="eastAsia" w:ascii="宋体" w:hAnsi="宋体" w:eastAsia="宋体"/>
                <w:snapToGrid w:val="0"/>
                <w:kern w:val="0"/>
                <w:szCs w:val="21"/>
              </w:rPr>
              <w:t>闸门通讯电源48V/60A-60AH</w:t>
            </w:r>
          </w:p>
        </w:tc>
        <w:tc>
          <w:tcPr>
            <w:tcW w:w="507" w:type="pct"/>
            <w:shd w:val="clear" w:color="000000" w:fill="FFFFFF"/>
            <w:vAlign w:val="center"/>
          </w:tcPr>
          <w:p>
            <w:pPr>
              <w:pStyle w:val="228"/>
              <w:adjustRightInd w:val="0"/>
              <w:snapToGrid w:val="0"/>
              <w:ind w:firstLine="0" w:firstLineChars="0"/>
              <w:jc w:val="center"/>
              <w:rPr>
                <w:rFonts w:ascii="宋体" w:hAnsi="宋体" w:eastAsia="宋体"/>
                <w:snapToGrid w:val="0"/>
                <w:kern w:val="0"/>
                <w:szCs w:val="21"/>
              </w:rPr>
            </w:pPr>
            <w:r>
              <w:rPr>
                <w:rFonts w:hint="eastAsia" w:ascii="宋体" w:hAnsi="宋体" w:eastAsia="宋体"/>
                <w:snapToGrid w:val="0"/>
                <w:kern w:val="0"/>
                <w:szCs w:val="21"/>
              </w:rPr>
              <w:t>套</w:t>
            </w:r>
          </w:p>
        </w:tc>
        <w:tc>
          <w:tcPr>
            <w:tcW w:w="507" w:type="pct"/>
            <w:shd w:val="clear" w:color="000000" w:fill="FFFFFF"/>
            <w:vAlign w:val="center"/>
          </w:tcPr>
          <w:p>
            <w:pPr>
              <w:pStyle w:val="228"/>
              <w:adjustRightInd w:val="0"/>
              <w:snapToGrid w:val="0"/>
              <w:ind w:firstLine="0" w:firstLineChars="0"/>
              <w:jc w:val="center"/>
              <w:rPr>
                <w:rFonts w:ascii="宋体" w:hAnsi="宋体" w:eastAsia="宋体"/>
                <w:snapToGrid w:val="0"/>
                <w:kern w:val="0"/>
                <w:szCs w:val="21"/>
              </w:rPr>
            </w:pPr>
            <w:r>
              <w:rPr>
                <w:rFonts w:hint="eastAsia" w:ascii="宋体" w:hAnsi="宋体" w:eastAsia="宋体"/>
                <w:snapToGrid w:val="0"/>
                <w:kern w:val="0"/>
                <w:szCs w:val="21"/>
              </w:rPr>
              <w:t>8</w:t>
            </w:r>
          </w:p>
        </w:tc>
        <w:tc>
          <w:tcPr>
            <w:tcW w:w="1176" w:type="pct"/>
            <w:shd w:val="clear" w:color="000000" w:fill="FFFFFF"/>
            <w:vAlign w:val="center"/>
          </w:tcPr>
          <w:p>
            <w:pPr>
              <w:pStyle w:val="228"/>
              <w:adjustRightInd w:val="0"/>
              <w:snapToGrid w:val="0"/>
              <w:ind w:firstLine="0" w:firstLineChars="0"/>
              <w:jc w:val="center"/>
              <w:rPr>
                <w:rFonts w:ascii="宋体" w:hAnsi="宋体" w:eastAsia="宋体"/>
                <w:snapToGrid w:val="0"/>
                <w:kern w:val="0"/>
                <w:szCs w:val="21"/>
              </w:rPr>
            </w:pPr>
            <w:r>
              <w:rPr>
                <w:rFonts w:hint="eastAsia" w:ascii="宋体" w:hAnsi="宋体" w:eastAsia="宋体"/>
                <w:snapToGrid w:val="0"/>
                <w:kern w:val="0"/>
                <w:szCs w:val="21"/>
              </w:rPr>
              <w:t>对应8座箱变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pct"/>
            <w:shd w:val="clear" w:color="000000" w:fill="FFFFFF"/>
            <w:vAlign w:val="center"/>
          </w:tcPr>
          <w:p>
            <w:pPr>
              <w:pStyle w:val="228"/>
              <w:adjustRightInd w:val="0"/>
              <w:snapToGrid w:val="0"/>
              <w:ind w:firstLine="0" w:firstLineChars="0"/>
              <w:jc w:val="center"/>
              <w:rPr>
                <w:rFonts w:ascii="宋体" w:hAnsi="宋体" w:eastAsia="宋体"/>
                <w:snapToGrid w:val="0"/>
                <w:kern w:val="0"/>
                <w:szCs w:val="21"/>
              </w:rPr>
            </w:pPr>
            <w:r>
              <w:rPr>
                <w:rFonts w:hint="eastAsia" w:ascii="宋体" w:hAnsi="宋体" w:eastAsia="宋体"/>
                <w:snapToGrid w:val="0"/>
                <w:kern w:val="0"/>
                <w:szCs w:val="21"/>
              </w:rPr>
              <w:t>2</w:t>
            </w:r>
          </w:p>
        </w:tc>
        <w:tc>
          <w:tcPr>
            <w:tcW w:w="2305" w:type="pct"/>
            <w:shd w:val="clear" w:color="000000" w:fill="FFFFFF"/>
            <w:vAlign w:val="center"/>
          </w:tcPr>
          <w:p>
            <w:pPr>
              <w:pStyle w:val="228"/>
              <w:adjustRightInd w:val="0"/>
              <w:snapToGrid w:val="0"/>
              <w:ind w:firstLine="0" w:firstLineChars="0"/>
              <w:jc w:val="center"/>
              <w:rPr>
                <w:rFonts w:ascii="宋体" w:hAnsi="宋体" w:eastAsia="宋体"/>
                <w:snapToGrid w:val="0"/>
                <w:kern w:val="0"/>
                <w:szCs w:val="21"/>
              </w:rPr>
            </w:pPr>
            <w:r>
              <w:rPr>
                <w:rFonts w:hint="eastAsia" w:ascii="宋体" w:hAnsi="宋体" w:eastAsia="宋体"/>
                <w:snapToGrid w:val="0"/>
                <w:kern w:val="0"/>
                <w:szCs w:val="21"/>
              </w:rPr>
              <w:t>光传输设备</w:t>
            </w:r>
          </w:p>
        </w:tc>
        <w:tc>
          <w:tcPr>
            <w:tcW w:w="507" w:type="pct"/>
            <w:shd w:val="clear" w:color="000000" w:fill="FFFFFF"/>
            <w:vAlign w:val="center"/>
          </w:tcPr>
          <w:p>
            <w:pPr>
              <w:pStyle w:val="228"/>
              <w:adjustRightInd w:val="0"/>
              <w:snapToGrid w:val="0"/>
              <w:ind w:firstLine="0" w:firstLineChars="0"/>
              <w:jc w:val="center"/>
              <w:rPr>
                <w:rFonts w:ascii="宋体" w:hAnsi="宋体" w:eastAsia="宋体"/>
                <w:snapToGrid w:val="0"/>
                <w:kern w:val="0"/>
                <w:szCs w:val="21"/>
              </w:rPr>
            </w:pPr>
            <w:r>
              <w:rPr>
                <w:rFonts w:hint="eastAsia" w:ascii="宋体" w:hAnsi="宋体" w:eastAsia="宋体"/>
                <w:snapToGrid w:val="0"/>
                <w:kern w:val="0"/>
                <w:szCs w:val="21"/>
              </w:rPr>
              <w:t>套</w:t>
            </w:r>
          </w:p>
        </w:tc>
        <w:tc>
          <w:tcPr>
            <w:tcW w:w="507" w:type="pct"/>
            <w:shd w:val="clear" w:color="000000" w:fill="FFFFFF"/>
            <w:vAlign w:val="center"/>
          </w:tcPr>
          <w:p>
            <w:pPr>
              <w:pStyle w:val="228"/>
              <w:adjustRightInd w:val="0"/>
              <w:snapToGrid w:val="0"/>
              <w:ind w:firstLine="0" w:firstLineChars="0"/>
              <w:jc w:val="center"/>
              <w:rPr>
                <w:rFonts w:ascii="宋体" w:hAnsi="宋体" w:eastAsia="宋体"/>
                <w:snapToGrid w:val="0"/>
                <w:kern w:val="0"/>
                <w:szCs w:val="21"/>
              </w:rPr>
            </w:pPr>
            <w:r>
              <w:rPr>
                <w:rFonts w:hint="eastAsia" w:ascii="宋体" w:hAnsi="宋体" w:eastAsia="宋体"/>
                <w:snapToGrid w:val="0"/>
                <w:kern w:val="0"/>
                <w:szCs w:val="21"/>
              </w:rPr>
              <w:t>8</w:t>
            </w:r>
          </w:p>
        </w:tc>
        <w:tc>
          <w:tcPr>
            <w:tcW w:w="1176" w:type="pct"/>
            <w:shd w:val="clear" w:color="000000" w:fill="FFFFFF"/>
            <w:vAlign w:val="center"/>
          </w:tcPr>
          <w:p>
            <w:pPr>
              <w:pStyle w:val="228"/>
              <w:adjustRightInd w:val="0"/>
              <w:snapToGrid w:val="0"/>
              <w:ind w:firstLine="0" w:firstLineChars="0"/>
              <w:jc w:val="center"/>
              <w:rPr>
                <w:rFonts w:ascii="宋体" w:hAnsi="宋体" w:eastAsia="宋体"/>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pct"/>
            <w:shd w:val="clear" w:color="000000" w:fill="FFFFFF"/>
            <w:vAlign w:val="center"/>
          </w:tcPr>
          <w:p>
            <w:pPr>
              <w:pStyle w:val="228"/>
              <w:adjustRightInd w:val="0"/>
              <w:snapToGrid w:val="0"/>
              <w:ind w:firstLine="0" w:firstLineChars="0"/>
              <w:jc w:val="center"/>
              <w:rPr>
                <w:rFonts w:ascii="宋体" w:hAnsi="宋体" w:eastAsia="宋体"/>
                <w:snapToGrid w:val="0"/>
                <w:kern w:val="0"/>
                <w:szCs w:val="21"/>
              </w:rPr>
            </w:pPr>
            <w:r>
              <w:rPr>
                <w:rFonts w:hint="eastAsia" w:ascii="宋体" w:hAnsi="宋体" w:eastAsia="宋体"/>
                <w:snapToGrid w:val="0"/>
                <w:kern w:val="0"/>
                <w:szCs w:val="21"/>
              </w:rPr>
              <w:t>3</w:t>
            </w:r>
          </w:p>
        </w:tc>
        <w:tc>
          <w:tcPr>
            <w:tcW w:w="2305" w:type="pct"/>
            <w:shd w:val="clear" w:color="000000" w:fill="FFFFFF"/>
            <w:vAlign w:val="center"/>
          </w:tcPr>
          <w:p>
            <w:pPr>
              <w:pStyle w:val="228"/>
              <w:adjustRightInd w:val="0"/>
              <w:snapToGrid w:val="0"/>
              <w:ind w:firstLine="0" w:firstLineChars="0"/>
              <w:jc w:val="center"/>
              <w:rPr>
                <w:rFonts w:ascii="宋体" w:hAnsi="宋体" w:eastAsia="宋体"/>
                <w:snapToGrid w:val="0"/>
                <w:kern w:val="0"/>
                <w:szCs w:val="21"/>
              </w:rPr>
            </w:pPr>
            <w:r>
              <w:rPr>
                <w:rFonts w:hint="eastAsia" w:ascii="宋体" w:hAnsi="宋体" w:eastAsia="宋体"/>
                <w:snapToGrid w:val="0"/>
                <w:kern w:val="0"/>
                <w:szCs w:val="21"/>
              </w:rPr>
              <w:t>应急电源EPS</w:t>
            </w:r>
          </w:p>
        </w:tc>
        <w:tc>
          <w:tcPr>
            <w:tcW w:w="507" w:type="pct"/>
            <w:shd w:val="clear" w:color="000000" w:fill="FFFFFF"/>
            <w:vAlign w:val="center"/>
          </w:tcPr>
          <w:p>
            <w:pPr>
              <w:pStyle w:val="228"/>
              <w:adjustRightInd w:val="0"/>
              <w:snapToGrid w:val="0"/>
              <w:ind w:firstLine="0" w:firstLineChars="0"/>
              <w:jc w:val="center"/>
              <w:rPr>
                <w:rFonts w:ascii="宋体" w:hAnsi="宋体" w:eastAsia="宋体"/>
                <w:snapToGrid w:val="0"/>
                <w:kern w:val="0"/>
                <w:szCs w:val="21"/>
              </w:rPr>
            </w:pPr>
            <w:r>
              <w:rPr>
                <w:rFonts w:hint="eastAsia" w:ascii="宋体" w:hAnsi="宋体" w:eastAsia="宋体"/>
                <w:snapToGrid w:val="0"/>
                <w:kern w:val="0"/>
                <w:szCs w:val="21"/>
              </w:rPr>
              <w:t>套</w:t>
            </w:r>
          </w:p>
        </w:tc>
        <w:tc>
          <w:tcPr>
            <w:tcW w:w="507" w:type="pct"/>
            <w:shd w:val="clear" w:color="000000" w:fill="FFFFFF"/>
            <w:vAlign w:val="center"/>
          </w:tcPr>
          <w:p>
            <w:pPr>
              <w:pStyle w:val="228"/>
              <w:adjustRightInd w:val="0"/>
              <w:snapToGrid w:val="0"/>
              <w:ind w:firstLine="0" w:firstLineChars="0"/>
              <w:jc w:val="center"/>
              <w:rPr>
                <w:rFonts w:ascii="宋体" w:hAnsi="宋体" w:eastAsia="宋体"/>
                <w:snapToGrid w:val="0"/>
                <w:kern w:val="0"/>
                <w:szCs w:val="21"/>
              </w:rPr>
            </w:pPr>
            <w:r>
              <w:rPr>
                <w:rFonts w:hint="eastAsia" w:ascii="宋体" w:hAnsi="宋体" w:eastAsia="宋体"/>
                <w:snapToGrid w:val="0"/>
                <w:kern w:val="0"/>
                <w:szCs w:val="21"/>
              </w:rPr>
              <w:t>8</w:t>
            </w:r>
          </w:p>
        </w:tc>
        <w:tc>
          <w:tcPr>
            <w:tcW w:w="1176" w:type="pct"/>
            <w:shd w:val="clear" w:color="000000" w:fill="FFFFFF"/>
            <w:vAlign w:val="center"/>
          </w:tcPr>
          <w:p>
            <w:pPr>
              <w:pStyle w:val="228"/>
              <w:adjustRightInd w:val="0"/>
              <w:snapToGrid w:val="0"/>
              <w:ind w:firstLine="0" w:firstLineChars="0"/>
              <w:jc w:val="center"/>
              <w:rPr>
                <w:rFonts w:ascii="宋体" w:hAnsi="宋体" w:eastAsia="宋体"/>
                <w:snapToGrid w:val="0"/>
                <w:kern w:val="0"/>
                <w:szCs w:val="21"/>
              </w:rPr>
            </w:pPr>
          </w:p>
        </w:tc>
      </w:tr>
    </w:tbl>
    <w:p>
      <w:pPr>
        <w:autoSpaceDE w:val="0"/>
        <w:autoSpaceDN w:val="0"/>
        <w:adjustRightInd w:val="0"/>
        <w:snapToGrid w:val="0"/>
        <w:jc w:val="center"/>
        <w:rPr>
          <w:rFonts w:ascii="宋体" w:hAnsi="宋体"/>
          <w:snapToGrid w:val="0"/>
          <w:kern w:val="0"/>
          <w:sz w:val="24"/>
          <w:szCs w:val="24"/>
        </w:rPr>
      </w:pPr>
      <w:r>
        <w:rPr>
          <w:rFonts w:hint="eastAsia" w:ascii="宋体" w:hAnsi="宋体"/>
          <w:snapToGrid w:val="0"/>
          <w:kern w:val="0"/>
          <w:sz w:val="24"/>
          <w:szCs w:val="24"/>
        </w:rPr>
        <w:t>规定的专用工具</w:t>
      </w:r>
    </w:p>
    <w:p>
      <w:pPr>
        <w:tabs>
          <w:tab w:val="left" w:pos="2475"/>
          <w:tab w:val="center" w:pos="4535"/>
        </w:tabs>
        <w:autoSpaceDE w:val="0"/>
        <w:autoSpaceDN w:val="0"/>
        <w:adjustRightInd w:val="0"/>
        <w:snapToGrid w:val="0"/>
        <w:jc w:val="center"/>
        <w:rPr>
          <w:rFonts w:ascii="宋体" w:hAnsi="宋体"/>
          <w:snapToGrid w:val="0"/>
          <w:kern w:val="0"/>
          <w:sz w:val="24"/>
          <w:szCs w:val="24"/>
        </w:rPr>
      </w:pPr>
      <w:r>
        <w:rPr>
          <w:rFonts w:hint="eastAsia" w:ascii="宋体" w:hAnsi="宋体"/>
          <w:snapToGrid w:val="0"/>
          <w:kern w:val="0"/>
          <w:sz w:val="24"/>
          <w:szCs w:val="24"/>
        </w:rPr>
        <w:t>表</w:t>
      </w:r>
      <w:r>
        <w:rPr>
          <w:rFonts w:ascii="宋体" w:hAnsi="宋体"/>
          <w:snapToGrid w:val="0"/>
          <w:kern w:val="0"/>
          <w:sz w:val="24"/>
          <w:szCs w:val="24"/>
        </w:rPr>
        <w:t>3-</w:t>
      </w:r>
      <w:r>
        <w:rPr>
          <w:rFonts w:hint="eastAsia" w:ascii="宋体" w:hAnsi="宋体"/>
          <w:snapToGrid w:val="0"/>
          <w:kern w:val="0"/>
          <w:sz w:val="24"/>
          <w:szCs w:val="24"/>
        </w:rPr>
        <w:t>2</w:t>
      </w:r>
    </w:p>
    <w:tbl>
      <w:tblPr>
        <w:tblStyle w:val="6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8"/>
        <w:gridCol w:w="3304"/>
        <w:gridCol w:w="1368"/>
        <w:gridCol w:w="691"/>
        <w:gridCol w:w="508"/>
        <w:gridCol w:w="508"/>
        <w:gridCol w:w="508"/>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711" w:type="pct"/>
            <w:vMerge w:val="restar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ascii="宋体" w:hAnsi="宋体" w:eastAsia="宋体"/>
                <w:snapToGrid w:val="0"/>
                <w:kern w:val="0"/>
                <w:szCs w:val="21"/>
              </w:rPr>
              <w:t>序号</w:t>
            </w:r>
          </w:p>
        </w:tc>
        <w:tc>
          <w:tcPr>
            <w:tcW w:w="1717" w:type="pct"/>
            <w:vMerge w:val="restar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ascii="宋体" w:hAnsi="宋体" w:eastAsia="宋体"/>
                <w:snapToGrid w:val="0"/>
                <w:kern w:val="0"/>
                <w:szCs w:val="21"/>
              </w:rPr>
              <w:t>设备名称</w:t>
            </w:r>
          </w:p>
        </w:tc>
        <w:tc>
          <w:tcPr>
            <w:tcW w:w="711" w:type="pct"/>
            <w:vMerge w:val="restar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ascii="宋体" w:hAnsi="宋体" w:eastAsia="宋体"/>
                <w:snapToGrid w:val="0"/>
                <w:kern w:val="0"/>
                <w:szCs w:val="21"/>
              </w:rPr>
              <w:t>单位</w:t>
            </w:r>
          </w:p>
        </w:tc>
        <w:tc>
          <w:tcPr>
            <w:tcW w:w="1150" w:type="pct"/>
            <w:gridSpan w:val="4"/>
            <w:vMerge w:val="restar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数量</w:t>
            </w:r>
          </w:p>
          <w:p>
            <w:pPr>
              <w:pStyle w:val="228"/>
              <w:adjustRightInd w:val="0"/>
              <w:snapToGrid w:val="0"/>
              <w:ind w:firstLine="420"/>
              <w:jc w:val="center"/>
              <w:rPr>
                <w:rFonts w:ascii="宋体" w:hAnsi="宋体" w:eastAsia="宋体"/>
                <w:snapToGrid w:val="0"/>
                <w:kern w:val="0"/>
                <w:szCs w:val="21"/>
              </w:rPr>
            </w:pPr>
          </w:p>
        </w:tc>
        <w:tc>
          <w:tcPr>
            <w:tcW w:w="711"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r>
              <w:rPr>
                <w:rFonts w:hint="eastAsia" w:ascii="宋体" w:hAnsi="宋体" w:eastAsia="宋体"/>
                <w:snapToGrid w:val="0"/>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711" w:type="pct"/>
            <w:vMerge w:val="continue"/>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1717" w:type="pct"/>
            <w:vMerge w:val="continue"/>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711" w:type="pct"/>
            <w:vMerge w:val="continue"/>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1150" w:type="pct"/>
            <w:gridSpan w:val="4"/>
            <w:vMerge w:val="continue"/>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c>
          <w:tcPr>
            <w:tcW w:w="711" w:type="pct"/>
            <w:shd w:val="clear" w:color="000000" w:fill="FFFFFF"/>
            <w:vAlign w:val="center"/>
          </w:tcPr>
          <w:p>
            <w:pPr>
              <w:pStyle w:val="228"/>
              <w:adjustRightInd w:val="0"/>
              <w:snapToGrid w:val="0"/>
              <w:ind w:firstLine="420"/>
              <w:jc w:val="center"/>
              <w:rPr>
                <w:rFonts w:ascii="宋体" w:hAnsi="宋体" w:eastAsia="宋体"/>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11" w:type="pct"/>
            <w:shd w:val="clear" w:color="000000" w:fill="FFFFFF"/>
            <w:vAlign w:val="center"/>
          </w:tcPr>
          <w:p>
            <w:pPr>
              <w:adjustRightInd w:val="0"/>
              <w:snapToGrid w:val="0"/>
              <w:jc w:val="center"/>
              <w:rPr>
                <w:rFonts w:ascii="宋体" w:hAnsi="宋体"/>
                <w:snapToGrid w:val="0"/>
                <w:kern w:val="0"/>
                <w:szCs w:val="21"/>
              </w:rPr>
            </w:pPr>
            <w:r>
              <w:rPr>
                <w:rFonts w:hint="eastAsia" w:ascii="宋体" w:hAnsi="宋体"/>
                <w:snapToGrid w:val="0"/>
                <w:kern w:val="0"/>
                <w:szCs w:val="21"/>
              </w:rPr>
              <w:t>三</w:t>
            </w:r>
          </w:p>
        </w:tc>
        <w:tc>
          <w:tcPr>
            <w:tcW w:w="1717" w:type="pct"/>
            <w:shd w:val="clear" w:color="000000" w:fill="FFFFFF"/>
            <w:vAlign w:val="center"/>
          </w:tcPr>
          <w:p>
            <w:pPr>
              <w:adjustRightInd w:val="0"/>
              <w:snapToGrid w:val="0"/>
              <w:jc w:val="center"/>
              <w:rPr>
                <w:rFonts w:ascii="宋体" w:hAnsi="宋体"/>
                <w:snapToGrid w:val="0"/>
                <w:kern w:val="0"/>
                <w:szCs w:val="21"/>
              </w:rPr>
            </w:pPr>
            <w:r>
              <w:rPr>
                <w:rFonts w:hint="eastAsia" w:ascii="宋体" w:hAnsi="宋体"/>
                <w:snapToGrid w:val="0"/>
                <w:kern w:val="0"/>
                <w:szCs w:val="21"/>
              </w:rPr>
              <w:t>专用工具</w:t>
            </w:r>
          </w:p>
        </w:tc>
        <w:tc>
          <w:tcPr>
            <w:tcW w:w="711" w:type="pct"/>
            <w:shd w:val="clear" w:color="000000" w:fill="FFFFFF"/>
            <w:vAlign w:val="center"/>
          </w:tcPr>
          <w:p>
            <w:pPr>
              <w:adjustRightInd w:val="0"/>
              <w:snapToGrid w:val="0"/>
              <w:jc w:val="center"/>
              <w:rPr>
                <w:rFonts w:ascii="宋体" w:hAnsi="宋体"/>
                <w:snapToGrid w:val="0"/>
                <w:kern w:val="0"/>
                <w:szCs w:val="21"/>
              </w:rPr>
            </w:pPr>
          </w:p>
        </w:tc>
        <w:tc>
          <w:tcPr>
            <w:tcW w:w="359" w:type="pct"/>
            <w:shd w:val="clear" w:color="000000" w:fill="FFFFFF"/>
            <w:vAlign w:val="center"/>
          </w:tcPr>
          <w:p>
            <w:pPr>
              <w:adjustRightInd w:val="0"/>
              <w:snapToGrid w:val="0"/>
              <w:jc w:val="center"/>
              <w:rPr>
                <w:rFonts w:ascii="宋体" w:hAnsi="宋体"/>
                <w:snapToGrid w:val="0"/>
                <w:kern w:val="0"/>
                <w:szCs w:val="21"/>
              </w:rPr>
            </w:pPr>
          </w:p>
        </w:tc>
        <w:tc>
          <w:tcPr>
            <w:tcW w:w="264" w:type="pct"/>
            <w:shd w:val="clear" w:color="000000" w:fill="FFFFFF"/>
            <w:vAlign w:val="center"/>
          </w:tcPr>
          <w:p>
            <w:pPr>
              <w:adjustRightInd w:val="0"/>
              <w:snapToGrid w:val="0"/>
              <w:jc w:val="center"/>
              <w:rPr>
                <w:rFonts w:ascii="宋体" w:hAnsi="宋体"/>
                <w:snapToGrid w:val="0"/>
                <w:kern w:val="0"/>
                <w:szCs w:val="21"/>
              </w:rPr>
            </w:pPr>
          </w:p>
        </w:tc>
        <w:tc>
          <w:tcPr>
            <w:tcW w:w="264" w:type="pct"/>
            <w:shd w:val="clear" w:color="000000" w:fill="FFFFFF"/>
            <w:vAlign w:val="center"/>
          </w:tcPr>
          <w:p>
            <w:pPr>
              <w:adjustRightInd w:val="0"/>
              <w:snapToGrid w:val="0"/>
              <w:jc w:val="center"/>
              <w:rPr>
                <w:rFonts w:ascii="宋体" w:hAnsi="宋体"/>
                <w:snapToGrid w:val="0"/>
                <w:kern w:val="0"/>
                <w:szCs w:val="21"/>
              </w:rPr>
            </w:pPr>
          </w:p>
        </w:tc>
        <w:tc>
          <w:tcPr>
            <w:tcW w:w="264" w:type="pct"/>
            <w:shd w:val="clear" w:color="000000" w:fill="FFFFFF"/>
            <w:vAlign w:val="center"/>
          </w:tcPr>
          <w:p>
            <w:pPr>
              <w:adjustRightInd w:val="0"/>
              <w:snapToGrid w:val="0"/>
              <w:jc w:val="center"/>
              <w:rPr>
                <w:rFonts w:ascii="宋体" w:hAnsi="宋体"/>
                <w:snapToGrid w:val="0"/>
                <w:kern w:val="0"/>
                <w:szCs w:val="21"/>
              </w:rPr>
            </w:pPr>
          </w:p>
        </w:tc>
        <w:tc>
          <w:tcPr>
            <w:tcW w:w="711" w:type="pct"/>
            <w:shd w:val="clear" w:color="000000" w:fill="FFFFFF"/>
            <w:vAlign w:val="center"/>
          </w:tcPr>
          <w:p>
            <w:pPr>
              <w:adjustRightInd w:val="0"/>
              <w:snapToGrid w:val="0"/>
              <w:jc w:val="center"/>
              <w:rPr>
                <w:rFonts w:ascii="宋体" w:hAnsi="宋体"/>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11" w:type="pct"/>
            <w:shd w:val="clear" w:color="000000" w:fill="FFFFFF"/>
            <w:vAlign w:val="center"/>
          </w:tcPr>
          <w:p>
            <w:pPr>
              <w:adjustRightInd w:val="0"/>
              <w:snapToGrid w:val="0"/>
              <w:jc w:val="center"/>
              <w:rPr>
                <w:rFonts w:ascii="宋体" w:hAnsi="宋体"/>
                <w:snapToGrid w:val="0"/>
                <w:kern w:val="0"/>
                <w:szCs w:val="21"/>
              </w:rPr>
            </w:pPr>
            <w:r>
              <w:rPr>
                <w:rFonts w:hint="eastAsia" w:ascii="宋体" w:hAnsi="宋体"/>
                <w:snapToGrid w:val="0"/>
                <w:kern w:val="0"/>
                <w:szCs w:val="21"/>
              </w:rPr>
              <w:t>1</w:t>
            </w:r>
          </w:p>
        </w:tc>
        <w:tc>
          <w:tcPr>
            <w:tcW w:w="1717" w:type="pct"/>
            <w:shd w:val="clear" w:color="000000" w:fill="FFFFFF"/>
            <w:vAlign w:val="center"/>
          </w:tcPr>
          <w:p>
            <w:pPr>
              <w:adjustRightInd w:val="0"/>
              <w:snapToGrid w:val="0"/>
              <w:jc w:val="center"/>
              <w:rPr>
                <w:rFonts w:ascii="宋体" w:hAnsi="宋体"/>
                <w:snapToGrid w:val="0"/>
                <w:kern w:val="0"/>
                <w:szCs w:val="21"/>
              </w:rPr>
            </w:pPr>
            <w:r>
              <w:rPr>
                <w:rFonts w:hint="eastAsia" w:ascii="宋体" w:hAnsi="宋体"/>
                <w:snapToGrid w:val="0"/>
                <w:kern w:val="0"/>
                <w:szCs w:val="21"/>
              </w:rPr>
              <w:t>电讯工具箱</w:t>
            </w:r>
          </w:p>
        </w:tc>
        <w:tc>
          <w:tcPr>
            <w:tcW w:w="711" w:type="pct"/>
            <w:shd w:val="clear" w:color="000000" w:fill="FFFFFF"/>
            <w:vAlign w:val="center"/>
          </w:tcPr>
          <w:p>
            <w:pPr>
              <w:adjustRightInd w:val="0"/>
              <w:snapToGrid w:val="0"/>
              <w:jc w:val="center"/>
              <w:rPr>
                <w:rFonts w:ascii="宋体" w:hAnsi="宋体"/>
                <w:snapToGrid w:val="0"/>
                <w:kern w:val="0"/>
                <w:szCs w:val="21"/>
              </w:rPr>
            </w:pPr>
            <w:r>
              <w:rPr>
                <w:rFonts w:hint="eastAsia" w:ascii="宋体" w:hAnsi="宋体"/>
                <w:snapToGrid w:val="0"/>
                <w:kern w:val="0"/>
                <w:szCs w:val="21"/>
              </w:rPr>
              <w:t>项</w:t>
            </w:r>
          </w:p>
        </w:tc>
        <w:tc>
          <w:tcPr>
            <w:tcW w:w="359" w:type="pct"/>
            <w:shd w:val="clear" w:color="000000" w:fill="FFFFFF"/>
            <w:vAlign w:val="center"/>
          </w:tcPr>
          <w:p>
            <w:pPr>
              <w:adjustRightInd w:val="0"/>
              <w:snapToGrid w:val="0"/>
              <w:jc w:val="center"/>
              <w:rPr>
                <w:rFonts w:ascii="宋体" w:hAnsi="宋体"/>
                <w:snapToGrid w:val="0"/>
                <w:kern w:val="0"/>
                <w:szCs w:val="21"/>
              </w:rPr>
            </w:pPr>
            <w:r>
              <w:rPr>
                <w:rFonts w:hint="eastAsia" w:ascii="宋体" w:hAnsi="宋体"/>
                <w:snapToGrid w:val="0"/>
                <w:kern w:val="0"/>
                <w:szCs w:val="21"/>
              </w:rPr>
              <w:t>1</w:t>
            </w:r>
          </w:p>
        </w:tc>
        <w:tc>
          <w:tcPr>
            <w:tcW w:w="264" w:type="pct"/>
            <w:shd w:val="clear" w:color="000000" w:fill="FFFFFF"/>
            <w:vAlign w:val="center"/>
          </w:tcPr>
          <w:p>
            <w:pPr>
              <w:adjustRightInd w:val="0"/>
              <w:snapToGrid w:val="0"/>
              <w:jc w:val="center"/>
              <w:rPr>
                <w:rFonts w:ascii="宋体" w:hAnsi="宋体"/>
                <w:snapToGrid w:val="0"/>
                <w:kern w:val="0"/>
                <w:szCs w:val="21"/>
              </w:rPr>
            </w:pPr>
          </w:p>
        </w:tc>
        <w:tc>
          <w:tcPr>
            <w:tcW w:w="264" w:type="pct"/>
            <w:shd w:val="clear" w:color="000000" w:fill="FFFFFF"/>
            <w:vAlign w:val="center"/>
          </w:tcPr>
          <w:p>
            <w:pPr>
              <w:adjustRightInd w:val="0"/>
              <w:snapToGrid w:val="0"/>
              <w:jc w:val="center"/>
              <w:rPr>
                <w:rFonts w:ascii="宋体" w:hAnsi="宋体"/>
                <w:snapToGrid w:val="0"/>
                <w:kern w:val="0"/>
                <w:szCs w:val="21"/>
              </w:rPr>
            </w:pPr>
          </w:p>
        </w:tc>
        <w:tc>
          <w:tcPr>
            <w:tcW w:w="264" w:type="pct"/>
            <w:shd w:val="clear" w:color="000000" w:fill="FFFFFF"/>
            <w:vAlign w:val="center"/>
          </w:tcPr>
          <w:p>
            <w:pPr>
              <w:adjustRightInd w:val="0"/>
              <w:snapToGrid w:val="0"/>
              <w:jc w:val="center"/>
              <w:rPr>
                <w:rFonts w:ascii="宋体" w:hAnsi="宋体"/>
                <w:snapToGrid w:val="0"/>
                <w:kern w:val="0"/>
                <w:szCs w:val="21"/>
              </w:rPr>
            </w:pPr>
          </w:p>
        </w:tc>
        <w:tc>
          <w:tcPr>
            <w:tcW w:w="711" w:type="pct"/>
            <w:shd w:val="clear" w:color="000000" w:fill="FFFFFF"/>
            <w:vAlign w:val="center"/>
          </w:tcPr>
          <w:p>
            <w:pPr>
              <w:adjustRightInd w:val="0"/>
              <w:snapToGrid w:val="0"/>
              <w:jc w:val="center"/>
              <w:rPr>
                <w:rFonts w:ascii="宋体" w:hAnsi="宋体"/>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11" w:type="pct"/>
            <w:shd w:val="clear" w:color="000000" w:fill="FFFFFF"/>
            <w:vAlign w:val="center"/>
          </w:tcPr>
          <w:p>
            <w:pPr>
              <w:adjustRightInd w:val="0"/>
              <w:snapToGrid w:val="0"/>
              <w:jc w:val="center"/>
              <w:rPr>
                <w:rFonts w:ascii="宋体" w:hAnsi="宋体"/>
                <w:snapToGrid w:val="0"/>
                <w:kern w:val="0"/>
                <w:szCs w:val="21"/>
              </w:rPr>
            </w:pPr>
            <w:r>
              <w:rPr>
                <w:rFonts w:hint="eastAsia" w:ascii="宋体" w:hAnsi="宋体"/>
                <w:snapToGrid w:val="0"/>
                <w:kern w:val="0"/>
                <w:szCs w:val="21"/>
              </w:rPr>
              <w:t>2</w:t>
            </w:r>
          </w:p>
        </w:tc>
        <w:tc>
          <w:tcPr>
            <w:tcW w:w="1717" w:type="pct"/>
            <w:shd w:val="clear" w:color="000000" w:fill="FFFFFF"/>
            <w:vAlign w:val="center"/>
          </w:tcPr>
          <w:p>
            <w:pPr>
              <w:adjustRightInd w:val="0"/>
              <w:snapToGrid w:val="0"/>
              <w:jc w:val="center"/>
              <w:rPr>
                <w:rFonts w:ascii="宋体" w:hAnsi="宋体"/>
                <w:snapToGrid w:val="0"/>
                <w:kern w:val="0"/>
                <w:szCs w:val="21"/>
              </w:rPr>
            </w:pPr>
            <w:r>
              <w:rPr>
                <w:rFonts w:hint="eastAsia" w:ascii="宋体" w:hAnsi="宋体"/>
                <w:snapToGrid w:val="0"/>
                <w:kern w:val="0"/>
                <w:szCs w:val="21"/>
              </w:rPr>
              <w:t>卡线刀</w:t>
            </w:r>
          </w:p>
        </w:tc>
        <w:tc>
          <w:tcPr>
            <w:tcW w:w="711" w:type="pct"/>
            <w:shd w:val="clear" w:color="000000" w:fill="FFFFFF"/>
            <w:vAlign w:val="center"/>
          </w:tcPr>
          <w:p>
            <w:pPr>
              <w:adjustRightInd w:val="0"/>
              <w:snapToGrid w:val="0"/>
              <w:jc w:val="center"/>
              <w:rPr>
                <w:rFonts w:ascii="宋体" w:hAnsi="宋体"/>
                <w:snapToGrid w:val="0"/>
                <w:kern w:val="0"/>
                <w:szCs w:val="21"/>
              </w:rPr>
            </w:pPr>
            <w:r>
              <w:rPr>
                <w:rFonts w:hint="eastAsia" w:ascii="宋体" w:hAnsi="宋体"/>
                <w:snapToGrid w:val="0"/>
                <w:kern w:val="0"/>
                <w:szCs w:val="21"/>
              </w:rPr>
              <w:t>把</w:t>
            </w:r>
          </w:p>
        </w:tc>
        <w:tc>
          <w:tcPr>
            <w:tcW w:w="359" w:type="pct"/>
            <w:shd w:val="clear" w:color="000000" w:fill="FFFFFF"/>
            <w:vAlign w:val="center"/>
          </w:tcPr>
          <w:p>
            <w:pPr>
              <w:adjustRightInd w:val="0"/>
              <w:snapToGrid w:val="0"/>
              <w:jc w:val="center"/>
              <w:rPr>
                <w:rFonts w:ascii="宋体" w:hAnsi="宋体"/>
                <w:snapToGrid w:val="0"/>
                <w:kern w:val="0"/>
                <w:szCs w:val="21"/>
              </w:rPr>
            </w:pPr>
            <w:r>
              <w:rPr>
                <w:rFonts w:hint="eastAsia" w:ascii="宋体" w:hAnsi="宋体"/>
                <w:snapToGrid w:val="0"/>
                <w:kern w:val="0"/>
                <w:szCs w:val="21"/>
              </w:rPr>
              <w:t>2</w:t>
            </w:r>
          </w:p>
        </w:tc>
        <w:tc>
          <w:tcPr>
            <w:tcW w:w="264" w:type="pct"/>
            <w:shd w:val="clear" w:color="000000" w:fill="FFFFFF"/>
            <w:vAlign w:val="center"/>
          </w:tcPr>
          <w:p>
            <w:pPr>
              <w:adjustRightInd w:val="0"/>
              <w:snapToGrid w:val="0"/>
              <w:jc w:val="center"/>
              <w:rPr>
                <w:rFonts w:ascii="宋体" w:hAnsi="宋体"/>
                <w:snapToGrid w:val="0"/>
                <w:kern w:val="0"/>
                <w:szCs w:val="21"/>
              </w:rPr>
            </w:pPr>
          </w:p>
        </w:tc>
        <w:tc>
          <w:tcPr>
            <w:tcW w:w="264" w:type="pct"/>
            <w:shd w:val="clear" w:color="000000" w:fill="FFFFFF"/>
            <w:vAlign w:val="center"/>
          </w:tcPr>
          <w:p>
            <w:pPr>
              <w:adjustRightInd w:val="0"/>
              <w:snapToGrid w:val="0"/>
              <w:jc w:val="center"/>
              <w:rPr>
                <w:rFonts w:ascii="宋体" w:hAnsi="宋体"/>
                <w:snapToGrid w:val="0"/>
                <w:kern w:val="0"/>
                <w:szCs w:val="21"/>
              </w:rPr>
            </w:pPr>
          </w:p>
        </w:tc>
        <w:tc>
          <w:tcPr>
            <w:tcW w:w="264" w:type="pct"/>
            <w:shd w:val="clear" w:color="000000" w:fill="FFFFFF"/>
            <w:vAlign w:val="center"/>
          </w:tcPr>
          <w:p>
            <w:pPr>
              <w:adjustRightInd w:val="0"/>
              <w:snapToGrid w:val="0"/>
              <w:jc w:val="center"/>
              <w:rPr>
                <w:rFonts w:ascii="宋体" w:hAnsi="宋体"/>
                <w:snapToGrid w:val="0"/>
                <w:kern w:val="0"/>
                <w:szCs w:val="21"/>
              </w:rPr>
            </w:pPr>
          </w:p>
        </w:tc>
        <w:tc>
          <w:tcPr>
            <w:tcW w:w="711" w:type="pct"/>
            <w:shd w:val="clear" w:color="000000" w:fill="FFFFFF"/>
            <w:vAlign w:val="center"/>
          </w:tcPr>
          <w:p>
            <w:pPr>
              <w:adjustRightInd w:val="0"/>
              <w:snapToGrid w:val="0"/>
              <w:jc w:val="center"/>
              <w:rPr>
                <w:rFonts w:ascii="宋体" w:hAnsi="宋体"/>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11" w:type="pct"/>
            <w:shd w:val="clear" w:color="000000" w:fill="FFFFFF"/>
            <w:vAlign w:val="center"/>
          </w:tcPr>
          <w:p>
            <w:pPr>
              <w:adjustRightInd w:val="0"/>
              <w:snapToGrid w:val="0"/>
              <w:jc w:val="center"/>
              <w:rPr>
                <w:rFonts w:ascii="宋体" w:hAnsi="宋体"/>
                <w:snapToGrid w:val="0"/>
                <w:kern w:val="0"/>
                <w:szCs w:val="21"/>
              </w:rPr>
            </w:pPr>
            <w:r>
              <w:rPr>
                <w:rFonts w:hint="eastAsia" w:ascii="宋体" w:hAnsi="宋体"/>
                <w:snapToGrid w:val="0"/>
                <w:kern w:val="0"/>
                <w:szCs w:val="21"/>
              </w:rPr>
              <w:t>3</w:t>
            </w:r>
          </w:p>
        </w:tc>
        <w:tc>
          <w:tcPr>
            <w:tcW w:w="1717" w:type="pct"/>
            <w:shd w:val="clear" w:color="000000" w:fill="FFFFFF"/>
            <w:vAlign w:val="center"/>
          </w:tcPr>
          <w:p>
            <w:pPr>
              <w:adjustRightInd w:val="0"/>
              <w:snapToGrid w:val="0"/>
              <w:jc w:val="center"/>
              <w:rPr>
                <w:rFonts w:ascii="宋体" w:hAnsi="宋体"/>
                <w:snapToGrid w:val="0"/>
                <w:kern w:val="0"/>
                <w:szCs w:val="21"/>
              </w:rPr>
            </w:pPr>
            <w:r>
              <w:rPr>
                <w:rFonts w:hint="eastAsia" w:ascii="宋体" w:hAnsi="宋体"/>
                <w:snapToGrid w:val="0"/>
                <w:kern w:val="0"/>
                <w:szCs w:val="21"/>
              </w:rPr>
              <w:t>水晶头压线钳</w:t>
            </w:r>
          </w:p>
        </w:tc>
        <w:tc>
          <w:tcPr>
            <w:tcW w:w="711" w:type="pct"/>
            <w:shd w:val="clear" w:color="000000" w:fill="FFFFFF"/>
            <w:vAlign w:val="center"/>
          </w:tcPr>
          <w:p>
            <w:pPr>
              <w:adjustRightInd w:val="0"/>
              <w:snapToGrid w:val="0"/>
              <w:jc w:val="center"/>
              <w:rPr>
                <w:rFonts w:ascii="宋体" w:hAnsi="宋体"/>
                <w:snapToGrid w:val="0"/>
                <w:kern w:val="0"/>
                <w:szCs w:val="21"/>
              </w:rPr>
            </w:pPr>
            <w:r>
              <w:rPr>
                <w:rFonts w:hint="eastAsia" w:ascii="宋体" w:hAnsi="宋体"/>
                <w:snapToGrid w:val="0"/>
                <w:kern w:val="0"/>
                <w:szCs w:val="21"/>
              </w:rPr>
              <w:t>把</w:t>
            </w:r>
          </w:p>
        </w:tc>
        <w:tc>
          <w:tcPr>
            <w:tcW w:w="359" w:type="pct"/>
            <w:shd w:val="clear" w:color="000000" w:fill="FFFFFF"/>
            <w:vAlign w:val="center"/>
          </w:tcPr>
          <w:p>
            <w:pPr>
              <w:adjustRightInd w:val="0"/>
              <w:snapToGrid w:val="0"/>
              <w:jc w:val="center"/>
              <w:rPr>
                <w:rFonts w:ascii="宋体" w:hAnsi="宋体"/>
                <w:snapToGrid w:val="0"/>
                <w:kern w:val="0"/>
                <w:szCs w:val="21"/>
              </w:rPr>
            </w:pPr>
            <w:r>
              <w:rPr>
                <w:rFonts w:hint="eastAsia" w:ascii="宋体" w:hAnsi="宋体"/>
                <w:snapToGrid w:val="0"/>
                <w:kern w:val="0"/>
                <w:szCs w:val="21"/>
              </w:rPr>
              <w:t>1</w:t>
            </w:r>
          </w:p>
        </w:tc>
        <w:tc>
          <w:tcPr>
            <w:tcW w:w="264" w:type="pct"/>
            <w:shd w:val="clear" w:color="000000" w:fill="FFFFFF"/>
            <w:vAlign w:val="center"/>
          </w:tcPr>
          <w:p>
            <w:pPr>
              <w:adjustRightInd w:val="0"/>
              <w:snapToGrid w:val="0"/>
              <w:jc w:val="center"/>
              <w:rPr>
                <w:rFonts w:ascii="宋体" w:hAnsi="宋体"/>
                <w:snapToGrid w:val="0"/>
                <w:kern w:val="0"/>
                <w:szCs w:val="21"/>
              </w:rPr>
            </w:pPr>
          </w:p>
        </w:tc>
        <w:tc>
          <w:tcPr>
            <w:tcW w:w="264" w:type="pct"/>
            <w:shd w:val="clear" w:color="000000" w:fill="FFFFFF"/>
            <w:vAlign w:val="center"/>
          </w:tcPr>
          <w:p>
            <w:pPr>
              <w:adjustRightInd w:val="0"/>
              <w:snapToGrid w:val="0"/>
              <w:jc w:val="center"/>
              <w:rPr>
                <w:rFonts w:ascii="宋体" w:hAnsi="宋体"/>
                <w:snapToGrid w:val="0"/>
                <w:kern w:val="0"/>
                <w:szCs w:val="21"/>
              </w:rPr>
            </w:pPr>
          </w:p>
        </w:tc>
        <w:tc>
          <w:tcPr>
            <w:tcW w:w="264" w:type="pct"/>
            <w:shd w:val="clear" w:color="000000" w:fill="FFFFFF"/>
            <w:vAlign w:val="center"/>
          </w:tcPr>
          <w:p>
            <w:pPr>
              <w:adjustRightInd w:val="0"/>
              <w:snapToGrid w:val="0"/>
              <w:jc w:val="center"/>
              <w:rPr>
                <w:rFonts w:ascii="宋体" w:hAnsi="宋体"/>
                <w:snapToGrid w:val="0"/>
                <w:kern w:val="0"/>
                <w:szCs w:val="21"/>
              </w:rPr>
            </w:pPr>
          </w:p>
        </w:tc>
        <w:tc>
          <w:tcPr>
            <w:tcW w:w="711" w:type="pct"/>
            <w:shd w:val="clear" w:color="000000" w:fill="FFFFFF"/>
            <w:vAlign w:val="center"/>
          </w:tcPr>
          <w:p>
            <w:pPr>
              <w:adjustRightInd w:val="0"/>
              <w:snapToGrid w:val="0"/>
              <w:jc w:val="center"/>
              <w:rPr>
                <w:rFonts w:ascii="宋体" w:hAnsi="宋体"/>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11" w:type="pct"/>
            <w:shd w:val="clear" w:color="000000" w:fill="FFFFFF"/>
            <w:vAlign w:val="center"/>
          </w:tcPr>
          <w:p>
            <w:pPr>
              <w:adjustRightInd w:val="0"/>
              <w:snapToGrid w:val="0"/>
              <w:jc w:val="center"/>
              <w:rPr>
                <w:rFonts w:ascii="宋体" w:hAnsi="宋体"/>
                <w:snapToGrid w:val="0"/>
                <w:kern w:val="0"/>
                <w:szCs w:val="21"/>
              </w:rPr>
            </w:pPr>
            <w:r>
              <w:rPr>
                <w:rFonts w:hint="eastAsia" w:ascii="宋体" w:hAnsi="宋体"/>
                <w:snapToGrid w:val="0"/>
                <w:kern w:val="0"/>
                <w:szCs w:val="21"/>
              </w:rPr>
              <w:t>4</w:t>
            </w:r>
          </w:p>
        </w:tc>
        <w:tc>
          <w:tcPr>
            <w:tcW w:w="1717" w:type="pct"/>
            <w:shd w:val="clear" w:color="000000" w:fill="FFFFFF"/>
            <w:vAlign w:val="center"/>
          </w:tcPr>
          <w:p>
            <w:pPr>
              <w:adjustRightInd w:val="0"/>
              <w:snapToGrid w:val="0"/>
              <w:jc w:val="center"/>
              <w:rPr>
                <w:rFonts w:ascii="宋体" w:hAnsi="宋体"/>
                <w:snapToGrid w:val="0"/>
                <w:kern w:val="0"/>
                <w:szCs w:val="21"/>
              </w:rPr>
            </w:pPr>
            <w:r>
              <w:rPr>
                <w:rFonts w:hint="eastAsia" w:ascii="宋体" w:hAnsi="宋体"/>
                <w:snapToGrid w:val="0"/>
                <w:kern w:val="0"/>
                <w:szCs w:val="21"/>
              </w:rPr>
              <w:t>万用表</w:t>
            </w:r>
          </w:p>
        </w:tc>
        <w:tc>
          <w:tcPr>
            <w:tcW w:w="711" w:type="pct"/>
            <w:shd w:val="clear" w:color="000000" w:fill="FFFFFF"/>
            <w:vAlign w:val="center"/>
          </w:tcPr>
          <w:p>
            <w:pPr>
              <w:adjustRightInd w:val="0"/>
              <w:snapToGrid w:val="0"/>
              <w:jc w:val="center"/>
              <w:rPr>
                <w:rFonts w:ascii="宋体" w:hAnsi="宋体"/>
                <w:snapToGrid w:val="0"/>
                <w:kern w:val="0"/>
                <w:szCs w:val="21"/>
              </w:rPr>
            </w:pPr>
            <w:r>
              <w:rPr>
                <w:rFonts w:hint="eastAsia" w:ascii="宋体" w:hAnsi="宋体"/>
                <w:snapToGrid w:val="0"/>
                <w:kern w:val="0"/>
                <w:szCs w:val="21"/>
              </w:rPr>
              <w:t>台</w:t>
            </w:r>
          </w:p>
        </w:tc>
        <w:tc>
          <w:tcPr>
            <w:tcW w:w="359" w:type="pct"/>
            <w:shd w:val="clear" w:color="000000" w:fill="FFFFFF"/>
            <w:vAlign w:val="center"/>
          </w:tcPr>
          <w:p>
            <w:pPr>
              <w:adjustRightInd w:val="0"/>
              <w:snapToGrid w:val="0"/>
              <w:jc w:val="center"/>
              <w:rPr>
                <w:rFonts w:ascii="宋体" w:hAnsi="宋体"/>
                <w:snapToGrid w:val="0"/>
                <w:kern w:val="0"/>
                <w:szCs w:val="21"/>
              </w:rPr>
            </w:pPr>
            <w:r>
              <w:rPr>
                <w:rFonts w:hint="eastAsia" w:ascii="宋体" w:hAnsi="宋体"/>
                <w:snapToGrid w:val="0"/>
                <w:kern w:val="0"/>
                <w:szCs w:val="21"/>
              </w:rPr>
              <w:t>1</w:t>
            </w:r>
          </w:p>
        </w:tc>
        <w:tc>
          <w:tcPr>
            <w:tcW w:w="264" w:type="pct"/>
            <w:shd w:val="clear" w:color="000000" w:fill="FFFFFF"/>
            <w:vAlign w:val="center"/>
          </w:tcPr>
          <w:p>
            <w:pPr>
              <w:adjustRightInd w:val="0"/>
              <w:snapToGrid w:val="0"/>
              <w:jc w:val="center"/>
              <w:rPr>
                <w:rFonts w:ascii="宋体" w:hAnsi="宋体"/>
                <w:snapToGrid w:val="0"/>
                <w:kern w:val="0"/>
                <w:szCs w:val="21"/>
              </w:rPr>
            </w:pPr>
          </w:p>
        </w:tc>
        <w:tc>
          <w:tcPr>
            <w:tcW w:w="264" w:type="pct"/>
            <w:shd w:val="clear" w:color="000000" w:fill="FFFFFF"/>
            <w:vAlign w:val="center"/>
          </w:tcPr>
          <w:p>
            <w:pPr>
              <w:adjustRightInd w:val="0"/>
              <w:snapToGrid w:val="0"/>
              <w:jc w:val="center"/>
              <w:rPr>
                <w:rFonts w:ascii="宋体" w:hAnsi="宋体"/>
                <w:snapToGrid w:val="0"/>
                <w:kern w:val="0"/>
                <w:szCs w:val="21"/>
              </w:rPr>
            </w:pPr>
          </w:p>
        </w:tc>
        <w:tc>
          <w:tcPr>
            <w:tcW w:w="264" w:type="pct"/>
            <w:shd w:val="clear" w:color="000000" w:fill="FFFFFF"/>
            <w:vAlign w:val="center"/>
          </w:tcPr>
          <w:p>
            <w:pPr>
              <w:adjustRightInd w:val="0"/>
              <w:snapToGrid w:val="0"/>
              <w:jc w:val="center"/>
              <w:rPr>
                <w:rFonts w:ascii="宋体" w:hAnsi="宋体"/>
                <w:snapToGrid w:val="0"/>
                <w:kern w:val="0"/>
                <w:szCs w:val="21"/>
              </w:rPr>
            </w:pPr>
          </w:p>
        </w:tc>
        <w:tc>
          <w:tcPr>
            <w:tcW w:w="711" w:type="pct"/>
            <w:shd w:val="clear" w:color="000000" w:fill="FFFFFF"/>
            <w:vAlign w:val="center"/>
          </w:tcPr>
          <w:p>
            <w:pPr>
              <w:adjustRightInd w:val="0"/>
              <w:snapToGrid w:val="0"/>
              <w:jc w:val="center"/>
              <w:rPr>
                <w:rFonts w:ascii="宋体" w:hAnsi="宋体"/>
                <w:snapToGrid w:val="0"/>
                <w:kern w:val="0"/>
                <w:szCs w:val="21"/>
              </w:rPr>
            </w:pPr>
          </w:p>
        </w:tc>
      </w:tr>
    </w:tbl>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3.4  光传输设备总体要求</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3.4.1  本工程中所有设备均采用综合业务传输设备（MSTP）。</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3.4.2  光设备均要求能支持双组直流电源输入，并能实现主备直流输入电源的自动切换；设备中的电路板应具备带电热拔插的能力。</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3.4.3  本标书所有设备、材料的制造和试验均应遵循下列标准和规范，并由买方认可。</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ITU-T      国际电信联盟标准委员会</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IEC        国际电工协会</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IEEE       电气与电子工程师协会</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ISO9001    国际标准化组织的质量体系和质量保证体系</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GB         中华人民共和国国标</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买方提供的设备应是全新的、技术上是先进的、具有运行经验的产品，并提供国际国内使用业绩。</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3.5  其他要求</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提供合同内的所有的设备及相关的配套设备</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出厂试验及发货记录</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协助安装并负责现场调试及投运</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提供合同内备品备件和专用工具</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所有的说明手册、图纸、文件资料等。</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3.6  光传输设备要求</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3.6.1  本系统采用STM-16同步数字传输设备，本期配置为STM-4。所有的622Mbit/s链路均采用线路“1+1”方式配置。</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3.6.2  光传输设备2M板应提供大于等于21个2M的接口数量。且具备今后再次扩展2M板的插槽位置的能力。</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3.6.3  投标方所供设备应具有多方向光：2.5Gbit/s 不小于方向2个，622Mbit/s 方向不小于6个，155Mbit/s接口方向不小于10个，便于买方今后扩容组成多个交叉子网。</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3.6.4  10M/100M自适应以太网接口必须在SDH传输层实现，且SDH平台上引入2层交换，各接口能同时支持以太网的透传和2层交换的功能。可通过VC-12虚级联，实现按需动态分配带宽，装载宽带业务的带宽可以以</w:t>
      </w:r>
      <w:r>
        <w:rPr>
          <w:rFonts w:ascii="宋体" w:hAnsi="宋体"/>
          <w:snapToGrid w:val="0"/>
          <w:kern w:val="0"/>
          <w:szCs w:val="21"/>
        </w:rPr>
        <w:t>n*</w:t>
      </w:r>
      <w:r>
        <w:rPr>
          <w:rFonts w:hint="eastAsia" w:ascii="宋体" w:hAnsi="宋体"/>
          <w:snapToGrid w:val="0"/>
          <w:kern w:val="0"/>
          <w:szCs w:val="21"/>
        </w:rPr>
        <w:t>2M进行分配（n=1~48）。</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3.6.5  SDH设备配置为速率为STM-4分插复用设备，具备交叉连接和系统管理的功能传输设备类型，该设备应提供直接分插STM-1信号内任何支路信号的能力。</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交叉连接方向应不少于：群路到支路，支路到群路，群路到群路，支路到支路。</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3.6.6  本光纤通信系统与数字网间的接口，均为标准的数字速率接口，即标准2048K</w:t>
      </w:r>
      <w:r>
        <w:rPr>
          <w:rFonts w:ascii="宋体" w:hAnsi="宋体"/>
          <w:snapToGrid w:val="0"/>
          <w:kern w:val="0"/>
          <w:szCs w:val="21"/>
        </w:rPr>
        <w:t>bit/s</w:t>
      </w:r>
      <w:r>
        <w:rPr>
          <w:rFonts w:hint="eastAsia" w:ascii="宋体" w:hAnsi="宋体"/>
          <w:snapToGrid w:val="0"/>
          <w:kern w:val="0"/>
          <w:szCs w:val="21"/>
        </w:rPr>
        <w:t>接口，34368K</w:t>
      </w:r>
      <w:r>
        <w:rPr>
          <w:rFonts w:ascii="宋体" w:hAnsi="宋体"/>
          <w:snapToGrid w:val="0"/>
          <w:kern w:val="0"/>
          <w:szCs w:val="21"/>
        </w:rPr>
        <w:t>bit/s</w:t>
      </w:r>
      <w:r>
        <w:rPr>
          <w:rFonts w:hint="eastAsia" w:ascii="宋体" w:hAnsi="宋体"/>
          <w:snapToGrid w:val="0"/>
          <w:kern w:val="0"/>
          <w:szCs w:val="21"/>
        </w:rPr>
        <w:t>接口，155520K</w:t>
      </w:r>
      <w:r>
        <w:rPr>
          <w:rFonts w:ascii="宋体" w:hAnsi="宋体"/>
          <w:snapToGrid w:val="0"/>
          <w:kern w:val="0"/>
          <w:szCs w:val="21"/>
        </w:rPr>
        <w:t>bit/s</w:t>
      </w:r>
      <w:r>
        <w:rPr>
          <w:rFonts w:hint="eastAsia" w:ascii="宋体" w:hAnsi="宋体"/>
          <w:snapToGrid w:val="0"/>
          <w:kern w:val="0"/>
          <w:szCs w:val="21"/>
        </w:rPr>
        <w:t>接口，622080K</w:t>
      </w:r>
      <w:r>
        <w:rPr>
          <w:rFonts w:ascii="宋体" w:hAnsi="宋体"/>
          <w:snapToGrid w:val="0"/>
          <w:kern w:val="0"/>
          <w:szCs w:val="21"/>
        </w:rPr>
        <w:t>bit/s</w:t>
      </w:r>
      <w:r>
        <w:rPr>
          <w:rFonts w:hint="eastAsia" w:ascii="宋体" w:hAnsi="宋体"/>
          <w:snapToGrid w:val="0"/>
          <w:kern w:val="0"/>
          <w:szCs w:val="21"/>
        </w:rPr>
        <w:t>接口等。</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3.6.7  时钟由内部时钟、2M</w:t>
      </w:r>
      <w:r>
        <w:rPr>
          <w:rFonts w:ascii="宋体" w:hAnsi="宋体"/>
          <w:snapToGrid w:val="0"/>
          <w:kern w:val="0"/>
          <w:szCs w:val="21"/>
        </w:rPr>
        <w:t>b/s</w:t>
      </w:r>
      <w:r>
        <w:rPr>
          <w:rFonts w:hint="eastAsia" w:ascii="宋体" w:hAnsi="宋体"/>
          <w:snapToGrid w:val="0"/>
          <w:kern w:val="0"/>
          <w:szCs w:val="21"/>
        </w:rPr>
        <w:t>外部时钟、从线路信号及支路信号中提取定时三种方式可选，时钟提取的优先顺序可由软件设定。</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3.6.8  设备应稳定、可靠，满足无人值守要求，当设备发生内部及外部故障（如机盘和电源故障），在故障消失后，设备应能自动恢复正常工作。</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3.7  通讯电源总体要求</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3.7.1  高频开关整流模块主要技术参数</w:t>
      </w:r>
    </w:p>
    <w:p>
      <w:pPr>
        <w:widowControl w:val="0"/>
        <w:numPr>
          <w:ilvl w:val="0"/>
          <w:numId w:val="10"/>
        </w:numPr>
        <w:adjustRightInd w:val="0"/>
        <w:snapToGrid w:val="0"/>
        <w:spacing w:line="400" w:lineRule="exact"/>
        <w:ind w:left="0" w:firstLine="420" w:firstLineChars="200"/>
        <w:textAlignment w:val="baseline"/>
        <w:rPr>
          <w:rFonts w:ascii="宋体" w:hAnsi="宋体"/>
          <w:snapToGrid w:val="0"/>
          <w:kern w:val="0"/>
          <w:szCs w:val="21"/>
        </w:rPr>
      </w:pPr>
      <w:r>
        <w:rPr>
          <w:rFonts w:hint="eastAsia" w:ascii="宋体" w:hAnsi="宋体"/>
          <w:snapToGrid w:val="0"/>
          <w:kern w:val="0"/>
          <w:szCs w:val="21"/>
        </w:rPr>
        <w:t>输入特性：</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输入</w:t>
      </w:r>
      <w:r>
        <w:rPr>
          <w:rFonts w:ascii="宋体" w:hAnsi="宋体"/>
          <w:snapToGrid w:val="0"/>
          <w:kern w:val="0"/>
          <w:szCs w:val="21"/>
        </w:rPr>
        <w:t>(</w:t>
      </w:r>
      <w:r>
        <w:rPr>
          <w:rFonts w:hint="eastAsia" w:ascii="宋体" w:hAnsi="宋体"/>
          <w:snapToGrid w:val="0"/>
          <w:kern w:val="0"/>
          <w:szCs w:val="21"/>
        </w:rPr>
        <w:t>相</w:t>
      </w:r>
      <w:r>
        <w:rPr>
          <w:rFonts w:ascii="宋体" w:hAnsi="宋体"/>
          <w:snapToGrid w:val="0"/>
          <w:kern w:val="0"/>
          <w:szCs w:val="21"/>
        </w:rPr>
        <w:t>)</w:t>
      </w:r>
      <w:r>
        <w:rPr>
          <w:rFonts w:hint="eastAsia" w:ascii="宋体" w:hAnsi="宋体"/>
          <w:snapToGrid w:val="0"/>
          <w:kern w:val="0"/>
          <w:szCs w:val="21"/>
        </w:rPr>
        <w:t>电压：在</w:t>
      </w:r>
      <w:r>
        <w:rPr>
          <w:rFonts w:ascii="宋体" w:hAnsi="宋体"/>
          <w:snapToGrid w:val="0"/>
          <w:kern w:val="0"/>
          <w:szCs w:val="21"/>
        </w:rPr>
        <w:t>170</w:t>
      </w:r>
      <w:r>
        <w:rPr>
          <w:rFonts w:hint="eastAsia" w:ascii="宋体" w:hAnsi="宋体"/>
          <w:snapToGrid w:val="0"/>
          <w:kern w:val="0"/>
          <w:szCs w:val="21"/>
        </w:rPr>
        <w:t>～</w:t>
      </w:r>
      <w:r>
        <w:rPr>
          <w:rFonts w:ascii="宋体" w:hAnsi="宋体"/>
          <w:snapToGrid w:val="0"/>
          <w:kern w:val="0"/>
          <w:szCs w:val="21"/>
        </w:rPr>
        <w:t xml:space="preserve">180V </w:t>
      </w:r>
      <w:r>
        <w:rPr>
          <w:rFonts w:hint="eastAsia" w:ascii="宋体" w:hAnsi="宋体"/>
          <w:snapToGrid w:val="0"/>
          <w:kern w:val="0"/>
          <w:szCs w:val="21"/>
        </w:rPr>
        <w:t>之间存在一个“转换点”，当处于“转换点”～</w:t>
      </w:r>
      <w:r>
        <w:rPr>
          <w:rFonts w:ascii="宋体" w:hAnsi="宋体"/>
          <w:snapToGrid w:val="0"/>
          <w:kern w:val="0"/>
          <w:szCs w:val="21"/>
        </w:rPr>
        <w:t xml:space="preserve">290V </w:t>
      </w:r>
      <w:r>
        <w:rPr>
          <w:rFonts w:hint="eastAsia" w:ascii="宋体" w:hAnsi="宋体"/>
          <w:snapToGrid w:val="0"/>
          <w:kern w:val="0"/>
          <w:szCs w:val="21"/>
        </w:rPr>
        <w:t>范围时可输出</w:t>
      </w:r>
      <w:r>
        <w:rPr>
          <w:rFonts w:ascii="宋体" w:hAnsi="宋体"/>
          <w:snapToGrid w:val="0"/>
          <w:kern w:val="0"/>
          <w:szCs w:val="21"/>
        </w:rPr>
        <w:t>58V/30A</w:t>
      </w:r>
      <w:r>
        <w:rPr>
          <w:rFonts w:hint="eastAsia" w:ascii="宋体" w:hAnsi="宋体"/>
          <w:snapToGrid w:val="0"/>
          <w:kern w:val="0"/>
          <w:szCs w:val="21"/>
        </w:rPr>
        <w:t>，处于</w:t>
      </w:r>
      <w:r>
        <w:rPr>
          <w:rFonts w:ascii="宋体" w:hAnsi="宋体"/>
          <w:snapToGrid w:val="0"/>
          <w:kern w:val="0"/>
          <w:szCs w:val="21"/>
        </w:rPr>
        <w:t>90</w:t>
      </w:r>
      <w:r>
        <w:rPr>
          <w:rFonts w:hint="eastAsia" w:ascii="宋体" w:hAnsi="宋体"/>
          <w:snapToGrid w:val="0"/>
          <w:kern w:val="0"/>
          <w:szCs w:val="21"/>
        </w:rPr>
        <w:t>～“转换点”范围时可输出</w:t>
      </w:r>
      <w:r>
        <w:rPr>
          <w:rFonts w:ascii="宋体" w:hAnsi="宋体"/>
          <w:snapToGrid w:val="0"/>
          <w:kern w:val="0"/>
          <w:szCs w:val="21"/>
        </w:rPr>
        <w:t>58V/15A</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输入电网频率：</w:t>
      </w:r>
      <w:r>
        <w:rPr>
          <w:rFonts w:ascii="宋体" w:hAnsi="宋体"/>
          <w:snapToGrid w:val="0"/>
          <w:kern w:val="0"/>
          <w:szCs w:val="21"/>
        </w:rPr>
        <w:t>45</w:t>
      </w:r>
      <w:r>
        <w:rPr>
          <w:rFonts w:hint="eastAsia" w:ascii="宋体" w:hAnsi="宋体"/>
          <w:snapToGrid w:val="0"/>
          <w:kern w:val="0"/>
          <w:szCs w:val="21"/>
        </w:rPr>
        <w:t>～</w:t>
      </w:r>
      <w:r>
        <w:rPr>
          <w:rFonts w:ascii="宋体" w:hAnsi="宋体"/>
          <w:snapToGrid w:val="0"/>
          <w:kern w:val="0"/>
          <w:szCs w:val="21"/>
        </w:rPr>
        <w:t>65Hz</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开机启动冲击电流：≤</w:t>
      </w:r>
      <w:r>
        <w:rPr>
          <w:rFonts w:ascii="宋体" w:hAnsi="宋体"/>
          <w:snapToGrid w:val="0"/>
          <w:kern w:val="0"/>
          <w:szCs w:val="21"/>
        </w:rPr>
        <w:t>15A</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无负载时可承受最大静态电压：</w:t>
      </w:r>
      <w:r>
        <w:rPr>
          <w:rFonts w:ascii="宋体" w:hAnsi="宋体"/>
          <w:snapToGrid w:val="0"/>
          <w:kern w:val="0"/>
          <w:szCs w:val="21"/>
        </w:rPr>
        <w:t>380VAC</w:t>
      </w:r>
      <w:r>
        <w:rPr>
          <w:rFonts w:hint="eastAsia" w:ascii="宋体" w:hAnsi="宋体"/>
          <w:snapToGrid w:val="0"/>
          <w:kern w:val="0"/>
          <w:szCs w:val="21"/>
        </w:rPr>
        <w:t>，长期承受</w:t>
      </w:r>
    </w:p>
    <w:p>
      <w:pPr>
        <w:widowControl w:val="0"/>
        <w:numPr>
          <w:ilvl w:val="0"/>
          <w:numId w:val="10"/>
        </w:numPr>
        <w:adjustRightInd w:val="0"/>
        <w:snapToGrid w:val="0"/>
        <w:spacing w:line="400" w:lineRule="exact"/>
        <w:ind w:left="0" w:firstLine="420" w:firstLineChars="200"/>
        <w:textAlignment w:val="baseline"/>
        <w:rPr>
          <w:rFonts w:ascii="宋体" w:hAnsi="宋体"/>
          <w:snapToGrid w:val="0"/>
          <w:kern w:val="0"/>
          <w:szCs w:val="21"/>
        </w:rPr>
      </w:pPr>
      <w:r>
        <w:rPr>
          <w:rFonts w:hint="eastAsia" w:ascii="宋体" w:hAnsi="宋体"/>
          <w:snapToGrid w:val="0"/>
          <w:kern w:val="0"/>
          <w:szCs w:val="21"/>
        </w:rPr>
        <w:t>输出特性：</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输出直流电压调整范围：42～58</w:t>
      </w:r>
      <w:r>
        <w:rPr>
          <w:rFonts w:ascii="宋体" w:hAnsi="宋体"/>
          <w:snapToGrid w:val="0"/>
          <w:kern w:val="0"/>
          <w:szCs w:val="21"/>
        </w:rPr>
        <w:t>V</w:t>
      </w:r>
      <w:r>
        <w:rPr>
          <w:rFonts w:hint="eastAsia" w:ascii="宋体" w:hAnsi="宋体"/>
          <w:snapToGrid w:val="0"/>
          <w:kern w:val="0"/>
          <w:szCs w:val="21"/>
        </w:rPr>
        <w:t>（监控模块可进行自动连续调整）</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输出直流电流：</w:t>
      </w:r>
      <w:r>
        <w:rPr>
          <w:rFonts w:ascii="宋体" w:hAnsi="宋体"/>
          <w:snapToGrid w:val="0"/>
          <w:kern w:val="0"/>
          <w:szCs w:val="21"/>
        </w:rPr>
        <w:t>0</w:t>
      </w:r>
      <w:r>
        <w:rPr>
          <w:rFonts w:hint="eastAsia" w:ascii="宋体" w:hAnsi="宋体"/>
          <w:snapToGrid w:val="0"/>
          <w:kern w:val="0"/>
          <w:szCs w:val="21"/>
        </w:rPr>
        <w:t>～</w:t>
      </w:r>
      <w:r>
        <w:rPr>
          <w:rFonts w:ascii="宋体" w:hAnsi="宋体"/>
          <w:snapToGrid w:val="0"/>
          <w:kern w:val="0"/>
          <w:szCs w:val="21"/>
        </w:rPr>
        <w:t>30A</w:t>
      </w:r>
      <w:r>
        <w:rPr>
          <w:rFonts w:hint="eastAsia" w:ascii="宋体" w:hAnsi="宋体"/>
          <w:snapToGrid w:val="0"/>
          <w:kern w:val="0"/>
          <w:szCs w:val="21"/>
        </w:rPr>
        <w:t>（最大可输出</w:t>
      </w:r>
      <w:r>
        <w:rPr>
          <w:rFonts w:ascii="宋体" w:hAnsi="宋体"/>
          <w:snapToGrid w:val="0"/>
          <w:kern w:val="0"/>
          <w:szCs w:val="21"/>
        </w:rPr>
        <w:t>33A</w:t>
      </w:r>
      <w:r>
        <w:rPr>
          <w:rFonts w:hint="eastAsia" w:ascii="宋体" w:hAnsi="宋体"/>
          <w:snapToGrid w:val="0"/>
          <w:kern w:val="0"/>
          <w:szCs w:val="21"/>
        </w:rPr>
        <w:t>）</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 xml:space="preserve">稳压精度  </w:t>
      </w:r>
      <w:r>
        <w:rPr>
          <w:rFonts w:ascii="宋体" w:hAnsi="宋体"/>
          <w:snapToGrid w:val="0"/>
          <w:kern w:val="0"/>
          <w:szCs w:val="21"/>
        </w:rPr>
        <w:t xml:space="preserve"> </w:t>
      </w:r>
      <w:r>
        <w:rPr>
          <w:rFonts w:hint="eastAsia" w:ascii="宋体" w:hAnsi="宋体"/>
          <w:snapToGrid w:val="0"/>
          <w:kern w:val="0"/>
          <w:szCs w:val="21"/>
        </w:rPr>
        <w:t>≤±</w:t>
      </w:r>
      <w:r>
        <w:rPr>
          <w:rFonts w:ascii="宋体" w:hAnsi="宋体"/>
          <w:snapToGrid w:val="0"/>
          <w:kern w:val="0"/>
          <w:szCs w:val="21"/>
        </w:rPr>
        <w:t>0.6</w:t>
      </w:r>
      <w:r>
        <w:rPr>
          <w:rFonts w:hint="eastAsia" w:ascii="宋体" w:hAnsi="宋体"/>
          <w:snapToGrid w:val="0"/>
          <w:kern w:val="0"/>
          <w:szCs w:val="21"/>
        </w:rPr>
        <w:t>％</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负载调整率</w:t>
      </w:r>
      <w:r>
        <w:rPr>
          <w:rFonts w:ascii="宋体" w:hAnsi="宋体"/>
          <w:snapToGrid w:val="0"/>
          <w:kern w:val="0"/>
          <w:szCs w:val="21"/>
        </w:rPr>
        <w:t xml:space="preserve"> </w:t>
      </w:r>
      <w:r>
        <w:rPr>
          <w:rFonts w:hint="eastAsia" w:ascii="宋体" w:hAnsi="宋体"/>
          <w:snapToGrid w:val="0"/>
          <w:kern w:val="0"/>
          <w:szCs w:val="21"/>
        </w:rPr>
        <w:t>≤±</w:t>
      </w:r>
      <w:r>
        <w:rPr>
          <w:rFonts w:ascii="宋体" w:hAnsi="宋体"/>
          <w:snapToGrid w:val="0"/>
          <w:kern w:val="0"/>
          <w:szCs w:val="21"/>
        </w:rPr>
        <w:t>0.5</w:t>
      </w:r>
      <w:r>
        <w:rPr>
          <w:rFonts w:hint="eastAsia" w:ascii="宋体" w:hAnsi="宋体"/>
          <w:snapToGrid w:val="0"/>
          <w:kern w:val="0"/>
          <w:szCs w:val="21"/>
        </w:rPr>
        <w:t>％</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电压调整率</w:t>
      </w:r>
      <w:r>
        <w:rPr>
          <w:rFonts w:ascii="宋体" w:hAnsi="宋体"/>
          <w:snapToGrid w:val="0"/>
          <w:kern w:val="0"/>
          <w:szCs w:val="21"/>
        </w:rPr>
        <w:t xml:space="preserve"> </w:t>
      </w:r>
      <w:r>
        <w:rPr>
          <w:rFonts w:hint="eastAsia" w:ascii="宋体" w:hAnsi="宋体"/>
          <w:snapToGrid w:val="0"/>
          <w:kern w:val="0"/>
          <w:szCs w:val="21"/>
        </w:rPr>
        <w:t>≤±</w:t>
      </w:r>
      <w:r>
        <w:rPr>
          <w:rFonts w:ascii="宋体" w:hAnsi="宋体"/>
          <w:snapToGrid w:val="0"/>
          <w:kern w:val="0"/>
          <w:szCs w:val="21"/>
        </w:rPr>
        <w:t>0.1</w:t>
      </w:r>
      <w:r>
        <w:rPr>
          <w:rFonts w:hint="eastAsia" w:ascii="宋体" w:hAnsi="宋体"/>
          <w:snapToGrid w:val="0"/>
          <w:kern w:val="0"/>
          <w:szCs w:val="21"/>
        </w:rPr>
        <w:t>％</w:t>
      </w:r>
    </w:p>
    <w:p>
      <w:pPr>
        <w:widowControl w:val="0"/>
        <w:numPr>
          <w:ilvl w:val="0"/>
          <w:numId w:val="10"/>
        </w:numPr>
        <w:adjustRightInd w:val="0"/>
        <w:snapToGrid w:val="0"/>
        <w:spacing w:line="400" w:lineRule="exact"/>
        <w:ind w:left="0" w:firstLine="420" w:firstLineChars="200"/>
        <w:textAlignment w:val="baseline"/>
        <w:rPr>
          <w:rFonts w:ascii="宋体" w:hAnsi="宋体"/>
          <w:snapToGrid w:val="0"/>
          <w:kern w:val="0"/>
          <w:szCs w:val="21"/>
        </w:rPr>
      </w:pPr>
      <w:r>
        <w:rPr>
          <w:rFonts w:hint="eastAsia" w:ascii="宋体" w:hAnsi="宋体"/>
          <w:snapToGrid w:val="0"/>
          <w:kern w:val="0"/>
          <w:szCs w:val="21"/>
        </w:rPr>
        <w:t>输出限流特性：</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无级限流，在</w:t>
      </w:r>
      <w:r>
        <w:rPr>
          <w:rFonts w:ascii="宋体" w:hAnsi="宋体"/>
          <w:snapToGrid w:val="0"/>
          <w:kern w:val="0"/>
          <w:szCs w:val="21"/>
        </w:rPr>
        <w:t>0</w:t>
      </w:r>
      <w:r>
        <w:rPr>
          <w:rFonts w:hint="eastAsia" w:ascii="宋体" w:hAnsi="宋体"/>
          <w:snapToGrid w:val="0"/>
          <w:kern w:val="0"/>
          <w:szCs w:val="21"/>
        </w:rPr>
        <w:t>～</w:t>
      </w:r>
      <w:r>
        <w:rPr>
          <w:rFonts w:ascii="宋体" w:hAnsi="宋体"/>
          <w:snapToGrid w:val="0"/>
          <w:kern w:val="0"/>
          <w:szCs w:val="21"/>
        </w:rPr>
        <w:t>110%</w:t>
      </w:r>
      <w:r>
        <w:rPr>
          <w:rFonts w:hint="eastAsia" w:ascii="宋体" w:hAnsi="宋体"/>
          <w:snapToGrid w:val="0"/>
          <w:kern w:val="0"/>
          <w:szCs w:val="21"/>
        </w:rPr>
        <w:t>额定电流值之间连续可调。</w:t>
      </w:r>
    </w:p>
    <w:p>
      <w:pPr>
        <w:widowControl w:val="0"/>
        <w:numPr>
          <w:ilvl w:val="0"/>
          <w:numId w:val="10"/>
        </w:numPr>
        <w:adjustRightInd w:val="0"/>
        <w:snapToGrid w:val="0"/>
        <w:spacing w:line="400" w:lineRule="exact"/>
        <w:ind w:left="0" w:firstLine="420" w:firstLineChars="200"/>
        <w:textAlignment w:val="baseline"/>
        <w:rPr>
          <w:rFonts w:ascii="宋体" w:hAnsi="宋体"/>
          <w:snapToGrid w:val="0"/>
          <w:kern w:val="0"/>
          <w:szCs w:val="21"/>
        </w:rPr>
      </w:pPr>
      <w:r>
        <w:rPr>
          <w:rFonts w:hint="eastAsia" w:ascii="宋体" w:hAnsi="宋体"/>
          <w:snapToGrid w:val="0"/>
          <w:kern w:val="0"/>
          <w:szCs w:val="21"/>
        </w:rPr>
        <w:t>功率因数：</w:t>
      </w:r>
      <w:r>
        <w:rPr>
          <w:rFonts w:ascii="宋体" w:hAnsi="宋体"/>
          <w:snapToGrid w:val="0"/>
          <w:kern w:val="0"/>
          <w:szCs w:val="21"/>
        </w:rPr>
        <w:t xml:space="preserve"> </w:t>
      </w:r>
      <w:r>
        <w:rPr>
          <w:rFonts w:hint="eastAsia" w:ascii="宋体" w:hAnsi="宋体"/>
          <w:snapToGrid w:val="0"/>
          <w:kern w:val="0"/>
          <w:szCs w:val="21"/>
        </w:rPr>
        <w:t>≥</w:t>
      </w:r>
      <w:r>
        <w:rPr>
          <w:rFonts w:ascii="宋体" w:hAnsi="宋体"/>
          <w:snapToGrid w:val="0"/>
          <w:kern w:val="0"/>
          <w:szCs w:val="21"/>
        </w:rPr>
        <w:t>0.99</w:t>
      </w:r>
    </w:p>
    <w:p>
      <w:pPr>
        <w:widowControl w:val="0"/>
        <w:numPr>
          <w:ilvl w:val="0"/>
          <w:numId w:val="10"/>
        </w:numPr>
        <w:adjustRightInd w:val="0"/>
        <w:snapToGrid w:val="0"/>
        <w:spacing w:line="400" w:lineRule="exact"/>
        <w:ind w:left="0" w:firstLine="420" w:firstLineChars="200"/>
        <w:textAlignment w:val="baseline"/>
        <w:rPr>
          <w:rFonts w:ascii="宋体" w:hAnsi="宋体"/>
          <w:snapToGrid w:val="0"/>
          <w:kern w:val="0"/>
          <w:szCs w:val="21"/>
        </w:rPr>
      </w:pPr>
      <w:r>
        <w:rPr>
          <w:rFonts w:hint="eastAsia" w:ascii="宋体" w:hAnsi="宋体"/>
          <w:snapToGrid w:val="0"/>
          <w:kern w:val="0"/>
          <w:szCs w:val="21"/>
        </w:rPr>
        <w:t>效率：</w:t>
      </w:r>
      <w:r>
        <w:rPr>
          <w:rFonts w:ascii="宋体" w:hAnsi="宋体"/>
          <w:snapToGrid w:val="0"/>
          <w:kern w:val="0"/>
          <w:szCs w:val="21"/>
        </w:rPr>
        <w:t xml:space="preserve"> </w:t>
      </w:r>
      <w:r>
        <w:rPr>
          <w:rFonts w:hint="eastAsia" w:ascii="宋体" w:hAnsi="宋体"/>
          <w:snapToGrid w:val="0"/>
          <w:kern w:val="0"/>
          <w:szCs w:val="21"/>
        </w:rPr>
        <w:t>≥</w:t>
      </w:r>
      <w:r>
        <w:rPr>
          <w:rFonts w:ascii="宋体" w:hAnsi="宋体"/>
          <w:snapToGrid w:val="0"/>
          <w:kern w:val="0"/>
          <w:szCs w:val="21"/>
        </w:rPr>
        <w:t>91%</w:t>
      </w:r>
    </w:p>
    <w:p>
      <w:pPr>
        <w:widowControl w:val="0"/>
        <w:numPr>
          <w:ilvl w:val="0"/>
          <w:numId w:val="10"/>
        </w:numPr>
        <w:adjustRightInd w:val="0"/>
        <w:snapToGrid w:val="0"/>
        <w:spacing w:line="400" w:lineRule="exact"/>
        <w:ind w:left="0" w:firstLine="420" w:firstLineChars="200"/>
        <w:textAlignment w:val="baseline"/>
        <w:rPr>
          <w:rFonts w:ascii="宋体" w:hAnsi="宋体"/>
          <w:snapToGrid w:val="0"/>
          <w:kern w:val="0"/>
          <w:szCs w:val="21"/>
        </w:rPr>
      </w:pPr>
      <w:r>
        <w:rPr>
          <w:rFonts w:hint="eastAsia" w:ascii="宋体" w:hAnsi="宋体"/>
          <w:snapToGrid w:val="0"/>
          <w:kern w:val="0"/>
          <w:szCs w:val="21"/>
        </w:rPr>
        <w:t>均流不平衡度：</w:t>
      </w:r>
      <w:r>
        <w:rPr>
          <w:rFonts w:ascii="宋体" w:hAnsi="宋体"/>
          <w:snapToGrid w:val="0"/>
          <w:kern w:val="0"/>
          <w:szCs w:val="21"/>
        </w:rPr>
        <w:t xml:space="preserve"> </w:t>
      </w:r>
      <w:r>
        <w:rPr>
          <w:rFonts w:hint="eastAsia" w:ascii="宋体" w:hAnsi="宋体"/>
          <w:snapToGrid w:val="0"/>
          <w:kern w:val="0"/>
          <w:szCs w:val="21"/>
        </w:rPr>
        <w:t>≤±</w:t>
      </w:r>
      <w:r>
        <w:rPr>
          <w:rFonts w:ascii="宋体" w:hAnsi="宋体"/>
          <w:snapToGrid w:val="0"/>
          <w:kern w:val="0"/>
          <w:szCs w:val="21"/>
        </w:rPr>
        <w:t>3%</w:t>
      </w:r>
    </w:p>
    <w:p>
      <w:pPr>
        <w:widowControl w:val="0"/>
        <w:numPr>
          <w:ilvl w:val="0"/>
          <w:numId w:val="10"/>
        </w:numPr>
        <w:adjustRightInd w:val="0"/>
        <w:snapToGrid w:val="0"/>
        <w:spacing w:line="400" w:lineRule="exact"/>
        <w:ind w:left="0" w:firstLine="420" w:firstLineChars="200"/>
        <w:textAlignment w:val="baseline"/>
        <w:rPr>
          <w:rFonts w:ascii="宋体" w:hAnsi="宋体"/>
          <w:snapToGrid w:val="0"/>
          <w:kern w:val="0"/>
          <w:szCs w:val="21"/>
        </w:rPr>
      </w:pPr>
      <w:r>
        <w:rPr>
          <w:rFonts w:hint="eastAsia" w:ascii="宋体" w:hAnsi="宋体"/>
          <w:snapToGrid w:val="0"/>
          <w:kern w:val="0"/>
          <w:szCs w:val="21"/>
        </w:rPr>
        <w:t>温度系数（</w:t>
      </w:r>
      <w:r>
        <w:rPr>
          <w:rFonts w:ascii="宋体" w:hAnsi="宋体"/>
          <w:snapToGrid w:val="0"/>
          <w:kern w:val="0"/>
          <w:szCs w:val="21"/>
        </w:rPr>
        <w:t>1/</w:t>
      </w:r>
      <w:r>
        <w:rPr>
          <w:rFonts w:hint="eastAsia" w:ascii="宋体" w:hAnsi="宋体"/>
          <w:snapToGrid w:val="0"/>
          <w:kern w:val="0"/>
          <w:szCs w:val="21"/>
        </w:rPr>
        <w:t>℃）：</w:t>
      </w:r>
      <w:r>
        <w:rPr>
          <w:rFonts w:ascii="宋体" w:hAnsi="宋体"/>
          <w:snapToGrid w:val="0"/>
          <w:kern w:val="0"/>
          <w:szCs w:val="21"/>
        </w:rPr>
        <w:t xml:space="preserve"> </w:t>
      </w:r>
      <w:r>
        <w:rPr>
          <w:rFonts w:hint="eastAsia" w:ascii="宋体" w:hAnsi="宋体"/>
          <w:snapToGrid w:val="0"/>
          <w:kern w:val="0"/>
          <w:szCs w:val="21"/>
        </w:rPr>
        <w:t>≤±</w:t>
      </w:r>
      <w:r>
        <w:rPr>
          <w:rFonts w:ascii="宋体" w:hAnsi="宋体"/>
          <w:snapToGrid w:val="0"/>
          <w:kern w:val="0"/>
          <w:szCs w:val="21"/>
        </w:rPr>
        <w:t>0.02%</w:t>
      </w:r>
    </w:p>
    <w:p>
      <w:pPr>
        <w:widowControl w:val="0"/>
        <w:numPr>
          <w:ilvl w:val="0"/>
          <w:numId w:val="10"/>
        </w:numPr>
        <w:adjustRightInd w:val="0"/>
        <w:snapToGrid w:val="0"/>
        <w:spacing w:line="400" w:lineRule="exact"/>
        <w:ind w:left="0" w:firstLine="420" w:firstLineChars="200"/>
        <w:textAlignment w:val="baseline"/>
        <w:rPr>
          <w:rFonts w:ascii="宋体" w:hAnsi="宋体"/>
          <w:snapToGrid w:val="0"/>
          <w:kern w:val="0"/>
          <w:szCs w:val="21"/>
        </w:rPr>
      </w:pPr>
      <w:r>
        <w:rPr>
          <w:rFonts w:hint="eastAsia" w:ascii="宋体" w:hAnsi="宋体"/>
          <w:snapToGrid w:val="0"/>
          <w:kern w:val="0"/>
          <w:szCs w:val="21"/>
        </w:rPr>
        <w:t>动态响应</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动态响应：</w:t>
      </w:r>
      <w:r>
        <w:rPr>
          <w:rFonts w:ascii="宋体" w:hAnsi="宋体"/>
          <w:snapToGrid w:val="0"/>
          <w:kern w:val="0"/>
          <w:szCs w:val="21"/>
        </w:rPr>
        <w:t>50%--25%--50%</w:t>
      </w:r>
      <w:r>
        <w:rPr>
          <w:rFonts w:hint="eastAsia" w:ascii="宋体" w:hAnsi="宋体"/>
          <w:snapToGrid w:val="0"/>
          <w:kern w:val="0"/>
          <w:szCs w:val="21"/>
        </w:rPr>
        <w:t>或</w:t>
      </w:r>
      <w:r>
        <w:rPr>
          <w:rFonts w:ascii="宋体" w:hAnsi="宋体"/>
          <w:snapToGrid w:val="0"/>
          <w:kern w:val="0"/>
          <w:szCs w:val="21"/>
        </w:rPr>
        <w:t>50%--75%--50%</w:t>
      </w:r>
      <w:r>
        <w:rPr>
          <w:rFonts w:hint="eastAsia" w:ascii="宋体" w:hAnsi="宋体"/>
          <w:snapToGrid w:val="0"/>
          <w:kern w:val="0"/>
          <w:szCs w:val="21"/>
        </w:rPr>
        <w:t>负载变化时，响应时间≤</w:t>
      </w:r>
      <w:r>
        <w:rPr>
          <w:rFonts w:ascii="宋体" w:hAnsi="宋体"/>
          <w:snapToGrid w:val="0"/>
          <w:kern w:val="0"/>
          <w:szCs w:val="21"/>
        </w:rPr>
        <w:t>200</w:t>
      </w:r>
      <w:r>
        <w:rPr>
          <w:rFonts w:hint="eastAsia" w:ascii="宋体" w:hAnsi="宋体"/>
          <w:snapToGrid w:val="0"/>
          <w:kern w:val="0"/>
          <w:szCs w:val="21"/>
        </w:rPr>
        <w:t>μ</w:t>
      </w:r>
      <w:r>
        <w:rPr>
          <w:rFonts w:ascii="宋体" w:hAnsi="宋体"/>
          <w:snapToGrid w:val="0"/>
          <w:kern w:val="0"/>
          <w:szCs w:val="21"/>
        </w:rPr>
        <w:t>s</w:t>
      </w:r>
      <w:r>
        <w:rPr>
          <w:rFonts w:hint="eastAsia" w:ascii="宋体" w:hAnsi="宋体"/>
          <w:snapToGrid w:val="0"/>
          <w:kern w:val="0"/>
          <w:szCs w:val="21"/>
        </w:rPr>
        <w:t>，超调量≤</w:t>
      </w:r>
      <w:r>
        <w:rPr>
          <w:rFonts w:ascii="宋体" w:hAnsi="宋体"/>
          <w:snapToGrid w:val="0"/>
          <w:kern w:val="0"/>
          <w:szCs w:val="21"/>
        </w:rPr>
        <w:t>0.5%</w:t>
      </w:r>
      <w:r>
        <w:rPr>
          <w:rFonts w:hint="eastAsia" w:ascii="宋体" w:hAnsi="宋体"/>
          <w:snapToGrid w:val="0"/>
          <w:kern w:val="0"/>
          <w:szCs w:val="21"/>
        </w:rPr>
        <w:t>。</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软启动时间：</w:t>
      </w:r>
      <w:r>
        <w:rPr>
          <w:rFonts w:ascii="宋体" w:hAnsi="宋体"/>
          <w:snapToGrid w:val="0"/>
          <w:kern w:val="0"/>
          <w:szCs w:val="21"/>
        </w:rPr>
        <w:t>3</w:t>
      </w:r>
      <w:r>
        <w:rPr>
          <w:rFonts w:hint="eastAsia" w:ascii="宋体" w:hAnsi="宋体"/>
          <w:snapToGrid w:val="0"/>
          <w:kern w:val="0"/>
          <w:szCs w:val="21"/>
        </w:rPr>
        <w:t>～</w:t>
      </w:r>
      <w:r>
        <w:rPr>
          <w:rFonts w:ascii="宋体" w:hAnsi="宋体"/>
          <w:snapToGrid w:val="0"/>
          <w:kern w:val="0"/>
          <w:szCs w:val="21"/>
        </w:rPr>
        <w:t>8s</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开关机过冲幅度：最大峰值不超过直流输出整定值的±</w:t>
      </w:r>
      <w:r>
        <w:rPr>
          <w:rFonts w:ascii="宋体" w:hAnsi="宋体"/>
          <w:snapToGrid w:val="0"/>
          <w:kern w:val="0"/>
          <w:szCs w:val="21"/>
        </w:rPr>
        <w:t>10%</w:t>
      </w:r>
    </w:p>
    <w:p>
      <w:pPr>
        <w:widowControl w:val="0"/>
        <w:numPr>
          <w:ilvl w:val="0"/>
          <w:numId w:val="10"/>
        </w:numPr>
        <w:adjustRightInd w:val="0"/>
        <w:snapToGrid w:val="0"/>
        <w:spacing w:line="400" w:lineRule="exact"/>
        <w:ind w:left="0" w:firstLine="420" w:firstLineChars="200"/>
        <w:textAlignment w:val="baseline"/>
        <w:rPr>
          <w:rFonts w:ascii="宋体" w:hAnsi="宋体"/>
          <w:snapToGrid w:val="0"/>
          <w:kern w:val="0"/>
          <w:szCs w:val="21"/>
        </w:rPr>
      </w:pPr>
      <w:r>
        <w:rPr>
          <w:rFonts w:hint="eastAsia" w:ascii="宋体" w:hAnsi="宋体"/>
          <w:snapToGrid w:val="0"/>
          <w:kern w:val="0"/>
          <w:szCs w:val="21"/>
        </w:rPr>
        <w:t>杂音指标</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峰</w:t>
      </w:r>
      <w:r>
        <w:rPr>
          <w:rFonts w:ascii="宋体" w:hAnsi="宋体"/>
          <w:snapToGrid w:val="0"/>
          <w:kern w:val="0"/>
          <w:szCs w:val="21"/>
        </w:rPr>
        <w:t>--</w:t>
      </w:r>
      <w:r>
        <w:rPr>
          <w:rFonts w:hint="eastAsia" w:ascii="宋体" w:hAnsi="宋体"/>
          <w:snapToGrid w:val="0"/>
          <w:kern w:val="0"/>
          <w:szCs w:val="21"/>
        </w:rPr>
        <w:t>峰值杂音电压：≤</w:t>
      </w:r>
      <w:r>
        <w:rPr>
          <w:rFonts w:ascii="宋体" w:hAnsi="宋体"/>
          <w:snapToGrid w:val="0"/>
          <w:kern w:val="0"/>
          <w:szCs w:val="21"/>
        </w:rPr>
        <w:t>200mV</w:t>
      </w:r>
      <w:r>
        <w:rPr>
          <w:rFonts w:hint="eastAsia" w:ascii="宋体" w:hAnsi="宋体"/>
          <w:snapToGrid w:val="0"/>
          <w:kern w:val="0"/>
          <w:szCs w:val="21"/>
        </w:rPr>
        <w:t>（</w:t>
      </w:r>
      <w:r>
        <w:rPr>
          <w:rFonts w:ascii="宋体" w:hAnsi="宋体"/>
          <w:snapToGrid w:val="0"/>
          <w:kern w:val="0"/>
          <w:szCs w:val="21"/>
        </w:rPr>
        <w:t>0</w:t>
      </w:r>
      <w:r>
        <w:rPr>
          <w:rFonts w:hint="eastAsia" w:ascii="宋体" w:hAnsi="宋体"/>
          <w:snapToGrid w:val="0"/>
          <w:kern w:val="0"/>
          <w:szCs w:val="21"/>
        </w:rPr>
        <w:t>～</w:t>
      </w:r>
      <w:r>
        <w:rPr>
          <w:rFonts w:ascii="宋体" w:hAnsi="宋体"/>
          <w:snapToGrid w:val="0"/>
          <w:kern w:val="0"/>
          <w:szCs w:val="21"/>
        </w:rPr>
        <w:t>20MHz</w:t>
      </w:r>
      <w:r>
        <w:rPr>
          <w:rFonts w:hint="eastAsia" w:ascii="宋体" w:hAnsi="宋体"/>
          <w:snapToGrid w:val="0"/>
          <w:kern w:val="0"/>
          <w:szCs w:val="21"/>
        </w:rPr>
        <w:t>）</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衡重杂音电压：</w:t>
      </w:r>
      <w:r>
        <w:rPr>
          <w:rFonts w:ascii="宋体" w:hAnsi="宋体"/>
          <w:snapToGrid w:val="0"/>
          <w:kern w:val="0"/>
          <w:szCs w:val="21"/>
        </w:rPr>
        <w:t xml:space="preserve"> </w:t>
      </w:r>
      <w:r>
        <w:rPr>
          <w:rFonts w:hint="eastAsia" w:ascii="宋体" w:hAnsi="宋体"/>
          <w:snapToGrid w:val="0"/>
          <w:kern w:val="0"/>
          <w:szCs w:val="21"/>
        </w:rPr>
        <w:t>≤</w:t>
      </w:r>
      <w:r>
        <w:rPr>
          <w:rFonts w:ascii="宋体" w:hAnsi="宋体"/>
          <w:snapToGrid w:val="0"/>
          <w:kern w:val="0"/>
          <w:szCs w:val="21"/>
        </w:rPr>
        <w:t>2mV</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宽频杂音电压：</w:t>
      </w:r>
      <w:r>
        <w:rPr>
          <w:rFonts w:ascii="宋体" w:hAnsi="宋体"/>
          <w:snapToGrid w:val="0"/>
          <w:kern w:val="0"/>
          <w:szCs w:val="21"/>
        </w:rPr>
        <w:t xml:space="preserve"> </w:t>
      </w:r>
      <w:r>
        <w:rPr>
          <w:rFonts w:hint="eastAsia" w:ascii="宋体" w:hAnsi="宋体"/>
          <w:snapToGrid w:val="0"/>
          <w:kern w:val="0"/>
          <w:szCs w:val="21"/>
        </w:rPr>
        <w:t>≤</w:t>
      </w:r>
      <w:r>
        <w:rPr>
          <w:rFonts w:ascii="宋体" w:hAnsi="宋体"/>
          <w:snapToGrid w:val="0"/>
          <w:kern w:val="0"/>
          <w:szCs w:val="21"/>
        </w:rPr>
        <w:t>50mV</w:t>
      </w:r>
      <w:r>
        <w:rPr>
          <w:rFonts w:hint="eastAsia" w:ascii="宋体" w:hAnsi="宋体"/>
          <w:snapToGrid w:val="0"/>
          <w:kern w:val="0"/>
          <w:szCs w:val="21"/>
        </w:rPr>
        <w:t>（</w:t>
      </w:r>
      <w:r>
        <w:rPr>
          <w:rFonts w:ascii="宋体" w:hAnsi="宋体"/>
          <w:snapToGrid w:val="0"/>
          <w:kern w:val="0"/>
          <w:szCs w:val="21"/>
        </w:rPr>
        <w:t>3.4kHz</w:t>
      </w:r>
      <w:r>
        <w:rPr>
          <w:rFonts w:hint="eastAsia" w:ascii="宋体" w:hAnsi="宋体"/>
          <w:snapToGrid w:val="0"/>
          <w:kern w:val="0"/>
          <w:szCs w:val="21"/>
        </w:rPr>
        <w:t>～</w:t>
      </w:r>
      <w:r>
        <w:rPr>
          <w:rFonts w:ascii="宋体" w:hAnsi="宋体"/>
          <w:snapToGrid w:val="0"/>
          <w:kern w:val="0"/>
          <w:szCs w:val="21"/>
        </w:rPr>
        <w:t>150kHz</w:t>
      </w:r>
      <w:r>
        <w:rPr>
          <w:rFonts w:hint="eastAsia" w:ascii="宋体" w:hAnsi="宋体"/>
          <w:snapToGrid w:val="0"/>
          <w:kern w:val="0"/>
          <w:szCs w:val="21"/>
        </w:rPr>
        <w:t>）</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20mV</w:t>
      </w:r>
      <w:r>
        <w:rPr>
          <w:rFonts w:hint="eastAsia" w:ascii="宋体" w:hAnsi="宋体"/>
          <w:snapToGrid w:val="0"/>
          <w:kern w:val="0"/>
          <w:szCs w:val="21"/>
        </w:rPr>
        <w:t>（</w:t>
      </w:r>
      <w:r>
        <w:rPr>
          <w:rFonts w:ascii="宋体" w:hAnsi="宋体"/>
          <w:snapToGrid w:val="0"/>
          <w:kern w:val="0"/>
          <w:szCs w:val="21"/>
        </w:rPr>
        <w:t>0.15 MHz</w:t>
      </w:r>
      <w:r>
        <w:rPr>
          <w:rFonts w:hint="eastAsia" w:ascii="宋体" w:hAnsi="宋体"/>
          <w:snapToGrid w:val="0"/>
          <w:kern w:val="0"/>
          <w:szCs w:val="21"/>
        </w:rPr>
        <w:t>～</w:t>
      </w:r>
      <w:r>
        <w:rPr>
          <w:rFonts w:ascii="宋体" w:hAnsi="宋体"/>
          <w:snapToGrid w:val="0"/>
          <w:kern w:val="0"/>
          <w:szCs w:val="21"/>
        </w:rPr>
        <w:t>30MHz</w:t>
      </w:r>
      <w:r>
        <w:rPr>
          <w:rFonts w:hint="eastAsia" w:ascii="宋体" w:hAnsi="宋体"/>
          <w:snapToGrid w:val="0"/>
          <w:kern w:val="0"/>
          <w:szCs w:val="21"/>
        </w:rPr>
        <w:t>）</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离散杂音电压：</w:t>
      </w:r>
      <w:r>
        <w:rPr>
          <w:rFonts w:ascii="宋体" w:hAnsi="宋体"/>
          <w:snapToGrid w:val="0"/>
          <w:kern w:val="0"/>
          <w:szCs w:val="21"/>
        </w:rPr>
        <w:t xml:space="preserve"> </w:t>
      </w:r>
      <w:r>
        <w:rPr>
          <w:rFonts w:hint="eastAsia" w:ascii="宋体" w:hAnsi="宋体"/>
          <w:snapToGrid w:val="0"/>
          <w:kern w:val="0"/>
          <w:szCs w:val="21"/>
        </w:rPr>
        <w:t>≤</w:t>
      </w:r>
      <w:r>
        <w:rPr>
          <w:rFonts w:ascii="宋体" w:hAnsi="宋体"/>
          <w:snapToGrid w:val="0"/>
          <w:kern w:val="0"/>
          <w:szCs w:val="21"/>
        </w:rPr>
        <w:t>5mV</w:t>
      </w:r>
      <w:r>
        <w:rPr>
          <w:rFonts w:hint="eastAsia" w:ascii="宋体" w:hAnsi="宋体"/>
          <w:snapToGrid w:val="0"/>
          <w:kern w:val="0"/>
          <w:szCs w:val="21"/>
        </w:rPr>
        <w:t>（</w:t>
      </w:r>
      <w:r>
        <w:rPr>
          <w:rFonts w:ascii="宋体" w:hAnsi="宋体"/>
          <w:snapToGrid w:val="0"/>
          <w:kern w:val="0"/>
          <w:szCs w:val="21"/>
        </w:rPr>
        <w:t>3.4kHz</w:t>
      </w:r>
      <w:r>
        <w:rPr>
          <w:rFonts w:hint="eastAsia" w:ascii="宋体" w:hAnsi="宋体"/>
          <w:snapToGrid w:val="0"/>
          <w:kern w:val="0"/>
          <w:szCs w:val="21"/>
        </w:rPr>
        <w:t>～</w:t>
      </w:r>
      <w:r>
        <w:rPr>
          <w:rFonts w:ascii="宋体" w:hAnsi="宋体"/>
          <w:snapToGrid w:val="0"/>
          <w:kern w:val="0"/>
          <w:szCs w:val="21"/>
        </w:rPr>
        <w:t>150kHz</w:t>
      </w:r>
      <w:r>
        <w:rPr>
          <w:rFonts w:hint="eastAsia" w:ascii="宋体" w:hAnsi="宋体"/>
          <w:snapToGrid w:val="0"/>
          <w:kern w:val="0"/>
          <w:szCs w:val="21"/>
        </w:rPr>
        <w:t>）</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3mV</w:t>
      </w:r>
      <w:r>
        <w:rPr>
          <w:rFonts w:hint="eastAsia" w:ascii="宋体" w:hAnsi="宋体"/>
          <w:snapToGrid w:val="0"/>
          <w:kern w:val="0"/>
          <w:szCs w:val="21"/>
        </w:rPr>
        <w:t>（</w:t>
      </w:r>
      <w:r>
        <w:rPr>
          <w:rFonts w:ascii="宋体" w:hAnsi="宋体"/>
          <w:snapToGrid w:val="0"/>
          <w:kern w:val="0"/>
          <w:szCs w:val="21"/>
        </w:rPr>
        <w:t>150kHz</w:t>
      </w:r>
      <w:r>
        <w:rPr>
          <w:rFonts w:hint="eastAsia" w:ascii="宋体" w:hAnsi="宋体"/>
          <w:snapToGrid w:val="0"/>
          <w:kern w:val="0"/>
          <w:szCs w:val="21"/>
        </w:rPr>
        <w:t>～</w:t>
      </w:r>
      <w:r>
        <w:rPr>
          <w:rFonts w:ascii="宋体" w:hAnsi="宋体"/>
          <w:snapToGrid w:val="0"/>
          <w:kern w:val="0"/>
          <w:szCs w:val="21"/>
        </w:rPr>
        <w:t>200kHz</w:t>
      </w:r>
      <w:r>
        <w:rPr>
          <w:rFonts w:hint="eastAsia" w:ascii="宋体" w:hAnsi="宋体"/>
          <w:snapToGrid w:val="0"/>
          <w:kern w:val="0"/>
          <w:szCs w:val="21"/>
        </w:rPr>
        <w:t>）</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2mV</w:t>
      </w:r>
      <w:r>
        <w:rPr>
          <w:rFonts w:hint="eastAsia" w:ascii="宋体" w:hAnsi="宋体"/>
          <w:snapToGrid w:val="0"/>
          <w:kern w:val="0"/>
          <w:szCs w:val="21"/>
        </w:rPr>
        <w:t>（</w:t>
      </w:r>
      <w:r>
        <w:rPr>
          <w:rFonts w:ascii="宋体" w:hAnsi="宋体"/>
          <w:snapToGrid w:val="0"/>
          <w:kern w:val="0"/>
          <w:szCs w:val="21"/>
        </w:rPr>
        <w:t>200kHz</w:t>
      </w:r>
      <w:r>
        <w:rPr>
          <w:rFonts w:hint="eastAsia" w:ascii="宋体" w:hAnsi="宋体"/>
          <w:snapToGrid w:val="0"/>
          <w:kern w:val="0"/>
          <w:szCs w:val="21"/>
        </w:rPr>
        <w:t>～</w:t>
      </w:r>
      <w:r>
        <w:rPr>
          <w:rFonts w:ascii="宋体" w:hAnsi="宋体"/>
          <w:snapToGrid w:val="0"/>
          <w:kern w:val="0"/>
          <w:szCs w:val="21"/>
        </w:rPr>
        <w:t>500kHz</w:t>
      </w:r>
      <w:r>
        <w:rPr>
          <w:rFonts w:hint="eastAsia" w:ascii="宋体" w:hAnsi="宋体"/>
          <w:snapToGrid w:val="0"/>
          <w:kern w:val="0"/>
          <w:szCs w:val="21"/>
        </w:rPr>
        <w:t>）</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1mV</w:t>
      </w:r>
      <w:r>
        <w:rPr>
          <w:rFonts w:hint="eastAsia" w:ascii="宋体" w:hAnsi="宋体"/>
          <w:snapToGrid w:val="0"/>
          <w:kern w:val="0"/>
          <w:szCs w:val="21"/>
        </w:rPr>
        <w:t>（</w:t>
      </w:r>
      <w:r>
        <w:rPr>
          <w:rFonts w:ascii="宋体" w:hAnsi="宋体"/>
          <w:snapToGrid w:val="0"/>
          <w:kern w:val="0"/>
          <w:szCs w:val="21"/>
        </w:rPr>
        <w:t>0.5MHz</w:t>
      </w:r>
      <w:r>
        <w:rPr>
          <w:rFonts w:hint="eastAsia" w:ascii="宋体" w:hAnsi="宋体"/>
          <w:snapToGrid w:val="0"/>
          <w:kern w:val="0"/>
          <w:szCs w:val="21"/>
        </w:rPr>
        <w:t>～</w:t>
      </w:r>
      <w:r>
        <w:rPr>
          <w:rFonts w:ascii="宋体" w:hAnsi="宋体"/>
          <w:snapToGrid w:val="0"/>
          <w:kern w:val="0"/>
          <w:szCs w:val="21"/>
        </w:rPr>
        <w:t>30MHz</w:t>
      </w:r>
      <w:r>
        <w:rPr>
          <w:rFonts w:hint="eastAsia" w:ascii="宋体" w:hAnsi="宋体"/>
          <w:snapToGrid w:val="0"/>
          <w:kern w:val="0"/>
          <w:szCs w:val="21"/>
        </w:rPr>
        <w:t>）</w:t>
      </w:r>
    </w:p>
    <w:p>
      <w:pPr>
        <w:widowControl w:val="0"/>
        <w:numPr>
          <w:ilvl w:val="0"/>
          <w:numId w:val="10"/>
        </w:numPr>
        <w:adjustRightInd w:val="0"/>
        <w:snapToGrid w:val="0"/>
        <w:spacing w:line="400" w:lineRule="exact"/>
        <w:ind w:left="0" w:firstLine="420" w:firstLineChars="200"/>
        <w:textAlignment w:val="baseline"/>
        <w:rPr>
          <w:rFonts w:ascii="宋体" w:hAnsi="宋体"/>
          <w:snapToGrid w:val="0"/>
          <w:kern w:val="0"/>
          <w:szCs w:val="21"/>
        </w:rPr>
      </w:pPr>
      <w:r>
        <w:rPr>
          <w:rFonts w:hint="eastAsia" w:ascii="宋体" w:hAnsi="宋体"/>
          <w:snapToGrid w:val="0"/>
          <w:kern w:val="0"/>
          <w:szCs w:val="21"/>
        </w:rPr>
        <w:t>音响噪音：≤</w:t>
      </w:r>
      <w:r>
        <w:rPr>
          <w:rFonts w:ascii="宋体" w:hAnsi="宋体"/>
          <w:snapToGrid w:val="0"/>
          <w:kern w:val="0"/>
          <w:szCs w:val="21"/>
        </w:rPr>
        <w:t>55dB</w:t>
      </w:r>
      <w:r>
        <w:rPr>
          <w:rFonts w:hint="eastAsia" w:ascii="宋体" w:hAnsi="宋体"/>
          <w:snapToGrid w:val="0"/>
          <w:kern w:val="0"/>
          <w:szCs w:val="21"/>
        </w:rPr>
        <w:t>（</w:t>
      </w:r>
      <w:r>
        <w:rPr>
          <w:rFonts w:ascii="宋体" w:hAnsi="宋体"/>
          <w:snapToGrid w:val="0"/>
          <w:kern w:val="0"/>
          <w:szCs w:val="21"/>
        </w:rPr>
        <w:t>A</w:t>
      </w:r>
      <w:r>
        <w:rPr>
          <w:rFonts w:hint="eastAsia" w:ascii="宋体" w:hAnsi="宋体"/>
          <w:snapToGrid w:val="0"/>
          <w:kern w:val="0"/>
          <w:szCs w:val="21"/>
        </w:rPr>
        <w:t>）</w:t>
      </w:r>
    </w:p>
    <w:p>
      <w:pPr>
        <w:widowControl w:val="0"/>
        <w:numPr>
          <w:ilvl w:val="0"/>
          <w:numId w:val="10"/>
        </w:numPr>
        <w:adjustRightInd w:val="0"/>
        <w:snapToGrid w:val="0"/>
        <w:spacing w:line="400" w:lineRule="exact"/>
        <w:ind w:left="0" w:firstLine="420" w:firstLineChars="200"/>
        <w:textAlignment w:val="baseline"/>
        <w:rPr>
          <w:rFonts w:ascii="宋体" w:hAnsi="宋体"/>
          <w:snapToGrid w:val="0"/>
          <w:kern w:val="0"/>
          <w:szCs w:val="21"/>
        </w:rPr>
      </w:pPr>
      <w:r>
        <w:rPr>
          <w:rFonts w:hint="eastAsia" w:ascii="宋体" w:hAnsi="宋体"/>
          <w:snapToGrid w:val="0"/>
          <w:kern w:val="0"/>
          <w:szCs w:val="21"/>
        </w:rPr>
        <w:t>稳压精度：实际输出电压不超过直流输出电压整定值的±0.5%；</w:t>
      </w:r>
    </w:p>
    <w:p>
      <w:pPr>
        <w:widowControl w:val="0"/>
        <w:numPr>
          <w:ilvl w:val="0"/>
          <w:numId w:val="10"/>
        </w:numPr>
        <w:adjustRightInd w:val="0"/>
        <w:snapToGrid w:val="0"/>
        <w:spacing w:line="400" w:lineRule="exact"/>
        <w:ind w:left="0" w:firstLine="420" w:firstLineChars="200"/>
        <w:textAlignment w:val="baseline"/>
        <w:rPr>
          <w:rFonts w:ascii="宋体" w:hAnsi="宋体"/>
          <w:snapToGrid w:val="0"/>
          <w:kern w:val="0"/>
          <w:szCs w:val="21"/>
        </w:rPr>
      </w:pPr>
      <w:r>
        <w:rPr>
          <w:rFonts w:hint="eastAsia" w:ascii="宋体" w:hAnsi="宋体"/>
          <w:snapToGrid w:val="0"/>
          <w:kern w:val="0"/>
          <w:szCs w:val="21"/>
        </w:rPr>
        <w:t>电涌保护</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满足</w:t>
      </w:r>
      <w:r>
        <w:rPr>
          <w:rFonts w:ascii="宋体" w:hAnsi="宋体"/>
          <w:snapToGrid w:val="0"/>
          <w:kern w:val="0"/>
          <w:szCs w:val="21"/>
        </w:rPr>
        <w:t xml:space="preserve">IEEE C62.41-1991 B3 </w:t>
      </w:r>
      <w:r>
        <w:rPr>
          <w:rFonts w:hint="eastAsia" w:ascii="宋体" w:hAnsi="宋体"/>
          <w:snapToGrid w:val="0"/>
          <w:kern w:val="0"/>
          <w:szCs w:val="21"/>
        </w:rPr>
        <w:t>等级，</w:t>
      </w:r>
      <w:r>
        <w:rPr>
          <w:rFonts w:ascii="宋体" w:hAnsi="宋体"/>
          <w:snapToGrid w:val="0"/>
          <w:kern w:val="0"/>
          <w:szCs w:val="21"/>
        </w:rPr>
        <w:t>6kV/3kA</w:t>
      </w:r>
      <w:r>
        <w:rPr>
          <w:rFonts w:hint="eastAsia" w:ascii="宋体" w:hAnsi="宋体"/>
          <w:snapToGrid w:val="0"/>
          <w:kern w:val="0"/>
          <w:szCs w:val="21"/>
        </w:rPr>
        <w:t>（</w:t>
      </w:r>
      <w:r>
        <w:rPr>
          <w:rFonts w:ascii="宋体" w:hAnsi="宋体"/>
          <w:snapToGrid w:val="0"/>
          <w:kern w:val="0"/>
          <w:szCs w:val="21"/>
        </w:rPr>
        <w:t>1.2/50</w:t>
      </w:r>
      <w:r>
        <w:rPr>
          <w:rFonts w:hint="eastAsia" w:ascii="宋体" w:hAnsi="宋体"/>
          <w:snapToGrid w:val="0"/>
          <w:kern w:val="0"/>
          <w:szCs w:val="21"/>
        </w:rPr>
        <w:t>μ</w:t>
      </w:r>
      <w:r>
        <w:rPr>
          <w:rFonts w:ascii="宋体" w:hAnsi="宋体"/>
          <w:snapToGrid w:val="0"/>
          <w:kern w:val="0"/>
          <w:szCs w:val="21"/>
        </w:rPr>
        <w:t xml:space="preserve">s </w:t>
      </w:r>
      <w:r>
        <w:rPr>
          <w:rFonts w:hint="eastAsia" w:ascii="宋体" w:hAnsi="宋体"/>
          <w:snapToGrid w:val="0"/>
          <w:kern w:val="0"/>
          <w:szCs w:val="21"/>
        </w:rPr>
        <w:t>冲击电压和</w:t>
      </w:r>
      <w:r>
        <w:rPr>
          <w:rFonts w:ascii="宋体" w:hAnsi="宋体"/>
          <w:snapToGrid w:val="0"/>
          <w:kern w:val="0"/>
          <w:szCs w:val="21"/>
        </w:rPr>
        <w:t>8/20</w:t>
      </w:r>
      <w:r>
        <w:rPr>
          <w:rFonts w:hint="eastAsia" w:ascii="宋体" w:hAnsi="宋体"/>
          <w:snapToGrid w:val="0"/>
          <w:kern w:val="0"/>
          <w:szCs w:val="21"/>
        </w:rPr>
        <w:t>μ</w:t>
      </w:r>
      <w:r>
        <w:rPr>
          <w:rFonts w:ascii="宋体" w:hAnsi="宋体"/>
          <w:snapToGrid w:val="0"/>
          <w:kern w:val="0"/>
          <w:szCs w:val="21"/>
        </w:rPr>
        <w:t>s</w:t>
      </w:r>
      <w:r>
        <w:rPr>
          <w:rFonts w:hint="eastAsia" w:ascii="宋体" w:hAnsi="宋体"/>
          <w:snapToGrid w:val="0"/>
          <w:kern w:val="0"/>
          <w:szCs w:val="21"/>
        </w:rPr>
        <w:t>冲击电流混合波）。</w:t>
      </w:r>
    </w:p>
    <w:p>
      <w:pPr>
        <w:widowControl w:val="0"/>
        <w:numPr>
          <w:ilvl w:val="0"/>
          <w:numId w:val="10"/>
        </w:numPr>
        <w:adjustRightInd w:val="0"/>
        <w:snapToGrid w:val="0"/>
        <w:spacing w:line="400" w:lineRule="exact"/>
        <w:ind w:left="0" w:firstLine="420" w:firstLineChars="200"/>
        <w:textAlignment w:val="baseline"/>
        <w:rPr>
          <w:rFonts w:ascii="宋体" w:hAnsi="宋体"/>
          <w:snapToGrid w:val="0"/>
          <w:kern w:val="0"/>
          <w:szCs w:val="21"/>
        </w:rPr>
      </w:pPr>
      <w:r>
        <w:rPr>
          <w:rFonts w:hint="eastAsia" w:ascii="宋体" w:hAnsi="宋体"/>
          <w:snapToGrid w:val="0"/>
          <w:kern w:val="0"/>
          <w:szCs w:val="21"/>
        </w:rPr>
        <w:t>绝缘电阻与绝缘强度（环境温度</w:t>
      </w:r>
      <w:r>
        <w:rPr>
          <w:rFonts w:ascii="宋体" w:hAnsi="宋体"/>
          <w:snapToGrid w:val="0"/>
          <w:kern w:val="0"/>
          <w:szCs w:val="21"/>
        </w:rPr>
        <w:t>25</w:t>
      </w:r>
      <w:r>
        <w:rPr>
          <w:rFonts w:hint="eastAsia" w:ascii="宋体" w:hAnsi="宋体"/>
          <w:snapToGrid w:val="0"/>
          <w:kern w:val="0"/>
          <w:szCs w:val="21"/>
        </w:rPr>
        <w:t>±</w:t>
      </w:r>
      <w:r>
        <w:rPr>
          <w:rFonts w:ascii="宋体" w:hAnsi="宋体"/>
          <w:snapToGrid w:val="0"/>
          <w:kern w:val="0"/>
          <w:szCs w:val="21"/>
        </w:rPr>
        <w:t>5</w:t>
      </w:r>
      <w:r>
        <w:rPr>
          <w:rFonts w:hint="eastAsia" w:ascii="宋体" w:hAnsi="宋体"/>
          <w:snapToGrid w:val="0"/>
          <w:kern w:val="0"/>
          <w:szCs w:val="21"/>
        </w:rPr>
        <w:t>℃，相对湿度</w:t>
      </w:r>
      <w:r>
        <w:rPr>
          <w:rFonts w:ascii="宋体" w:hAnsi="宋体"/>
          <w:snapToGrid w:val="0"/>
          <w:kern w:val="0"/>
          <w:szCs w:val="21"/>
        </w:rPr>
        <w:t>90%</w:t>
      </w:r>
      <w:r>
        <w:rPr>
          <w:rFonts w:hint="eastAsia" w:ascii="宋体" w:hAnsi="宋体"/>
          <w:snapToGrid w:val="0"/>
          <w:kern w:val="0"/>
          <w:szCs w:val="21"/>
        </w:rPr>
        <w:t>）：</w:t>
      </w:r>
    </w:p>
    <w:p>
      <w:pPr>
        <w:widowControl w:val="0"/>
        <w:numPr>
          <w:ilvl w:val="1"/>
          <w:numId w:val="11"/>
        </w:numPr>
        <w:adjustRightInd w:val="0"/>
        <w:snapToGrid w:val="0"/>
        <w:spacing w:line="400" w:lineRule="exact"/>
        <w:ind w:left="0" w:firstLine="420" w:firstLineChars="200"/>
        <w:textAlignment w:val="baseline"/>
        <w:rPr>
          <w:rFonts w:ascii="宋体" w:hAnsi="宋体"/>
          <w:snapToGrid w:val="0"/>
          <w:kern w:val="0"/>
          <w:szCs w:val="21"/>
        </w:rPr>
      </w:pPr>
      <w:r>
        <w:rPr>
          <w:rFonts w:hint="eastAsia" w:ascii="宋体" w:hAnsi="宋体"/>
          <w:snapToGrid w:val="0"/>
          <w:kern w:val="0"/>
          <w:szCs w:val="21"/>
        </w:rPr>
        <w:t>绝缘电阻</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直流部分、交流部分对外壳之间以及交流部分对直流部分之间的绝缘电阻≥</w:t>
      </w:r>
      <w:r>
        <w:rPr>
          <w:rFonts w:ascii="宋体" w:hAnsi="宋体"/>
          <w:snapToGrid w:val="0"/>
          <w:kern w:val="0"/>
          <w:szCs w:val="21"/>
        </w:rPr>
        <w:t>5M</w:t>
      </w:r>
      <w:r>
        <w:rPr>
          <w:rFonts w:hint="eastAsia" w:ascii="宋体" w:hAnsi="宋体"/>
          <w:snapToGrid w:val="0"/>
          <w:kern w:val="0"/>
          <w:szCs w:val="21"/>
        </w:rPr>
        <w:t>Ω（试验电压</w:t>
      </w:r>
      <w:r>
        <w:rPr>
          <w:rFonts w:ascii="宋体" w:hAnsi="宋体"/>
          <w:snapToGrid w:val="0"/>
          <w:kern w:val="0"/>
          <w:szCs w:val="21"/>
        </w:rPr>
        <w:t>500VDC</w:t>
      </w:r>
      <w:r>
        <w:rPr>
          <w:rFonts w:hint="eastAsia" w:ascii="宋体" w:hAnsi="宋体"/>
          <w:snapToGrid w:val="0"/>
          <w:kern w:val="0"/>
          <w:szCs w:val="21"/>
        </w:rPr>
        <w:t>）</w:t>
      </w:r>
    </w:p>
    <w:p>
      <w:pPr>
        <w:widowControl w:val="0"/>
        <w:numPr>
          <w:ilvl w:val="1"/>
          <w:numId w:val="11"/>
        </w:numPr>
        <w:adjustRightInd w:val="0"/>
        <w:snapToGrid w:val="0"/>
        <w:spacing w:line="400" w:lineRule="exact"/>
        <w:ind w:left="0" w:firstLine="420" w:firstLineChars="200"/>
        <w:textAlignment w:val="baseline"/>
        <w:rPr>
          <w:rFonts w:ascii="宋体" w:hAnsi="宋体"/>
          <w:snapToGrid w:val="0"/>
          <w:kern w:val="0"/>
          <w:szCs w:val="21"/>
        </w:rPr>
      </w:pPr>
      <w:r>
        <w:rPr>
          <w:rFonts w:hint="eastAsia" w:ascii="宋体" w:hAnsi="宋体"/>
          <w:snapToGrid w:val="0"/>
          <w:kern w:val="0"/>
          <w:szCs w:val="21"/>
        </w:rPr>
        <w:t>绝缘强度</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交流部分对外壳：</w:t>
      </w:r>
      <w:r>
        <w:rPr>
          <w:rFonts w:ascii="宋体" w:hAnsi="宋体"/>
          <w:snapToGrid w:val="0"/>
          <w:kern w:val="0"/>
          <w:szCs w:val="21"/>
        </w:rPr>
        <w:t>2120VDC</w:t>
      </w:r>
      <w:r>
        <w:rPr>
          <w:rFonts w:hint="eastAsia" w:ascii="宋体" w:hAnsi="宋体"/>
          <w:snapToGrid w:val="0"/>
          <w:kern w:val="0"/>
          <w:szCs w:val="21"/>
        </w:rPr>
        <w:t>，</w:t>
      </w:r>
      <w:r>
        <w:rPr>
          <w:rFonts w:ascii="宋体" w:hAnsi="宋体"/>
          <w:snapToGrid w:val="0"/>
          <w:kern w:val="0"/>
          <w:szCs w:val="21"/>
        </w:rPr>
        <w:t>1min</w:t>
      </w:r>
      <w:r>
        <w:rPr>
          <w:rFonts w:hint="eastAsia" w:ascii="宋体" w:hAnsi="宋体"/>
          <w:snapToGrid w:val="0"/>
          <w:kern w:val="0"/>
          <w:szCs w:val="21"/>
        </w:rPr>
        <w:t>，无击穿，漏电流≤</w:t>
      </w:r>
      <w:r>
        <w:rPr>
          <w:rFonts w:ascii="宋体" w:hAnsi="宋体"/>
          <w:snapToGrid w:val="0"/>
          <w:kern w:val="0"/>
          <w:szCs w:val="21"/>
        </w:rPr>
        <w:t>1mA</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交流部分对直流部分：</w:t>
      </w:r>
      <w:r>
        <w:rPr>
          <w:rFonts w:ascii="宋体" w:hAnsi="宋体"/>
          <w:snapToGrid w:val="0"/>
          <w:kern w:val="0"/>
          <w:szCs w:val="21"/>
        </w:rPr>
        <w:t>4240VDC</w:t>
      </w:r>
      <w:r>
        <w:rPr>
          <w:rFonts w:hint="eastAsia" w:ascii="宋体" w:hAnsi="宋体"/>
          <w:snapToGrid w:val="0"/>
          <w:kern w:val="0"/>
          <w:szCs w:val="21"/>
        </w:rPr>
        <w:t>，</w:t>
      </w:r>
      <w:r>
        <w:rPr>
          <w:rFonts w:ascii="宋体" w:hAnsi="宋体"/>
          <w:snapToGrid w:val="0"/>
          <w:kern w:val="0"/>
          <w:szCs w:val="21"/>
        </w:rPr>
        <w:t>1min</w:t>
      </w:r>
      <w:r>
        <w:rPr>
          <w:rFonts w:hint="eastAsia" w:ascii="宋体" w:hAnsi="宋体"/>
          <w:snapToGrid w:val="0"/>
          <w:kern w:val="0"/>
          <w:szCs w:val="21"/>
        </w:rPr>
        <w:t>，无击穿，漏电流≤</w:t>
      </w:r>
      <w:r>
        <w:rPr>
          <w:rFonts w:ascii="宋体" w:hAnsi="宋体"/>
          <w:snapToGrid w:val="0"/>
          <w:kern w:val="0"/>
          <w:szCs w:val="21"/>
        </w:rPr>
        <w:t>1mA</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直流部分对外壳：</w:t>
      </w:r>
      <w:r>
        <w:rPr>
          <w:rFonts w:ascii="宋体" w:hAnsi="宋体"/>
          <w:snapToGrid w:val="0"/>
          <w:kern w:val="0"/>
          <w:szCs w:val="21"/>
        </w:rPr>
        <w:t>710VDC</w:t>
      </w:r>
      <w:r>
        <w:rPr>
          <w:rFonts w:hint="eastAsia" w:ascii="宋体" w:hAnsi="宋体"/>
          <w:snapToGrid w:val="0"/>
          <w:kern w:val="0"/>
          <w:szCs w:val="21"/>
        </w:rPr>
        <w:t>，</w:t>
      </w:r>
      <w:r>
        <w:rPr>
          <w:rFonts w:ascii="宋体" w:hAnsi="宋体"/>
          <w:snapToGrid w:val="0"/>
          <w:kern w:val="0"/>
          <w:szCs w:val="21"/>
        </w:rPr>
        <w:t>1min</w:t>
      </w:r>
      <w:r>
        <w:rPr>
          <w:rFonts w:hint="eastAsia" w:ascii="宋体" w:hAnsi="宋体"/>
          <w:snapToGrid w:val="0"/>
          <w:kern w:val="0"/>
          <w:szCs w:val="21"/>
        </w:rPr>
        <w:t>，无击穿，漏电流≤</w:t>
      </w:r>
      <w:r>
        <w:rPr>
          <w:rFonts w:ascii="宋体" w:hAnsi="宋体"/>
          <w:snapToGrid w:val="0"/>
          <w:kern w:val="0"/>
          <w:szCs w:val="21"/>
        </w:rPr>
        <w:t>1mA</w:t>
      </w:r>
    </w:p>
    <w:p>
      <w:pPr>
        <w:widowControl w:val="0"/>
        <w:numPr>
          <w:ilvl w:val="0"/>
          <w:numId w:val="10"/>
        </w:numPr>
        <w:adjustRightInd w:val="0"/>
        <w:snapToGrid w:val="0"/>
        <w:spacing w:line="400" w:lineRule="exact"/>
        <w:ind w:left="0" w:firstLine="420" w:firstLineChars="200"/>
        <w:textAlignment w:val="baseline"/>
        <w:rPr>
          <w:rFonts w:ascii="宋体" w:hAnsi="宋体"/>
          <w:snapToGrid w:val="0"/>
          <w:kern w:val="0"/>
          <w:szCs w:val="21"/>
        </w:rPr>
      </w:pPr>
      <w:r>
        <w:rPr>
          <w:rFonts w:hint="eastAsia" w:ascii="宋体" w:hAnsi="宋体"/>
          <w:snapToGrid w:val="0"/>
          <w:kern w:val="0"/>
          <w:szCs w:val="21"/>
        </w:rPr>
        <w:t>散热方式</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当整流模块的散热器温度低于</w:t>
      </w:r>
      <w:r>
        <w:rPr>
          <w:rFonts w:ascii="宋体" w:hAnsi="宋体"/>
          <w:snapToGrid w:val="0"/>
          <w:kern w:val="0"/>
          <w:szCs w:val="21"/>
        </w:rPr>
        <w:t>40</w:t>
      </w:r>
      <w:r>
        <w:rPr>
          <w:rFonts w:hint="eastAsia" w:ascii="宋体" w:hAnsi="宋体"/>
          <w:snapToGrid w:val="0"/>
          <w:kern w:val="0"/>
          <w:szCs w:val="21"/>
        </w:rPr>
        <w:t>℃时为自然冷，大于</w:t>
      </w:r>
      <w:r>
        <w:rPr>
          <w:rFonts w:ascii="宋体" w:hAnsi="宋体"/>
          <w:snapToGrid w:val="0"/>
          <w:kern w:val="0"/>
          <w:szCs w:val="21"/>
        </w:rPr>
        <w:t>40</w:t>
      </w:r>
      <w:r>
        <w:rPr>
          <w:rFonts w:hint="eastAsia" w:ascii="宋体" w:hAnsi="宋体"/>
          <w:snapToGrid w:val="0"/>
          <w:kern w:val="0"/>
          <w:szCs w:val="21"/>
        </w:rPr>
        <w:t>℃时，通过一个风扇强制风冷。风扇采用无级温控调速，当散热器温度大于</w:t>
      </w:r>
      <w:r>
        <w:rPr>
          <w:rFonts w:ascii="宋体" w:hAnsi="宋体"/>
          <w:snapToGrid w:val="0"/>
          <w:kern w:val="0"/>
          <w:szCs w:val="21"/>
        </w:rPr>
        <w:t>40</w:t>
      </w:r>
      <w:r>
        <w:rPr>
          <w:rFonts w:hint="eastAsia" w:ascii="宋体" w:hAnsi="宋体"/>
          <w:snapToGrid w:val="0"/>
          <w:kern w:val="0"/>
          <w:szCs w:val="21"/>
        </w:rPr>
        <w:t>℃风扇起转；散热器温度大于</w:t>
      </w:r>
      <w:r>
        <w:rPr>
          <w:rFonts w:ascii="宋体" w:hAnsi="宋体"/>
          <w:snapToGrid w:val="0"/>
          <w:kern w:val="0"/>
          <w:szCs w:val="21"/>
        </w:rPr>
        <w:t>60</w:t>
      </w:r>
      <w:r>
        <w:rPr>
          <w:rFonts w:hint="eastAsia" w:ascii="宋体" w:hAnsi="宋体"/>
          <w:snapToGrid w:val="0"/>
          <w:kern w:val="0"/>
          <w:szCs w:val="21"/>
        </w:rPr>
        <w:t>℃，风扇满转。</w:t>
      </w:r>
    </w:p>
    <w:p>
      <w:pPr>
        <w:widowControl w:val="0"/>
        <w:numPr>
          <w:ilvl w:val="0"/>
          <w:numId w:val="10"/>
        </w:numPr>
        <w:adjustRightInd w:val="0"/>
        <w:snapToGrid w:val="0"/>
        <w:spacing w:line="400" w:lineRule="exact"/>
        <w:ind w:left="0" w:firstLine="420" w:firstLineChars="200"/>
        <w:textAlignment w:val="baseline"/>
        <w:rPr>
          <w:rFonts w:ascii="宋体" w:hAnsi="宋体"/>
          <w:snapToGrid w:val="0"/>
          <w:kern w:val="0"/>
          <w:szCs w:val="21"/>
        </w:rPr>
      </w:pPr>
      <w:r>
        <w:rPr>
          <w:rFonts w:hint="eastAsia" w:ascii="宋体" w:hAnsi="宋体"/>
          <w:snapToGrid w:val="0"/>
          <w:kern w:val="0"/>
          <w:szCs w:val="21"/>
        </w:rPr>
        <w:t>告警和保护特性</w:t>
      </w:r>
    </w:p>
    <w:p>
      <w:pPr>
        <w:widowControl w:val="0"/>
        <w:numPr>
          <w:ilvl w:val="0"/>
          <w:numId w:val="12"/>
        </w:numPr>
        <w:adjustRightInd w:val="0"/>
        <w:snapToGrid w:val="0"/>
        <w:spacing w:line="400" w:lineRule="exact"/>
        <w:ind w:left="0" w:firstLine="420" w:firstLineChars="200"/>
        <w:textAlignment w:val="baseline"/>
        <w:rPr>
          <w:rFonts w:ascii="宋体" w:hAnsi="宋体"/>
          <w:snapToGrid w:val="0"/>
          <w:kern w:val="0"/>
          <w:szCs w:val="21"/>
        </w:rPr>
      </w:pPr>
      <w:r>
        <w:rPr>
          <w:rFonts w:hint="eastAsia" w:ascii="宋体" w:hAnsi="宋体"/>
          <w:snapToGrid w:val="0"/>
          <w:kern w:val="0"/>
          <w:szCs w:val="21"/>
        </w:rPr>
        <w:t>过流保护</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输入过流保护（采用保险丝）；</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输出过流保护（采用保险丝）；</w:t>
      </w:r>
    </w:p>
    <w:p>
      <w:pPr>
        <w:adjustRightInd w:val="0"/>
        <w:snapToGrid w:val="0"/>
        <w:spacing w:line="400" w:lineRule="exact"/>
        <w:ind w:firstLine="420" w:firstLineChars="200"/>
        <w:rPr>
          <w:rFonts w:ascii="宋体" w:hAnsi="宋体"/>
          <w:snapToGrid w:val="0"/>
          <w:kern w:val="0"/>
          <w:szCs w:val="21"/>
        </w:rPr>
      </w:pPr>
      <w:r>
        <w:rPr>
          <w:rFonts w:ascii="宋体" w:hAnsi="宋体"/>
          <w:snapToGrid w:val="0"/>
          <w:kern w:val="0"/>
          <w:szCs w:val="21"/>
        </w:rPr>
        <w:t xml:space="preserve">PFC </w:t>
      </w:r>
      <w:r>
        <w:rPr>
          <w:rFonts w:hint="eastAsia" w:ascii="宋体" w:hAnsi="宋体"/>
          <w:snapToGrid w:val="0"/>
          <w:kern w:val="0"/>
          <w:szCs w:val="21"/>
        </w:rPr>
        <w:t>过流保护；</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短路保护：电流回缩式保护功能，回缩电流＜</w:t>
      </w:r>
      <w:r>
        <w:rPr>
          <w:rFonts w:ascii="宋体" w:hAnsi="宋体"/>
          <w:snapToGrid w:val="0"/>
          <w:kern w:val="0"/>
          <w:szCs w:val="21"/>
        </w:rPr>
        <w:t>8A</w:t>
      </w:r>
      <w:r>
        <w:rPr>
          <w:rFonts w:hint="eastAsia" w:ascii="宋体" w:hAnsi="宋体"/>
          <w:snapToGrid w:val="0"/>
          <w:kern w:val="0"/>
          <w:szCs w:val="21"/>
        </w:rPr>
        <w:t>，拐点电压</w:t>
      </w:r>
      <w:r>
        <w:rPr>
          <w:rFonts w:ascii="宋体" w:hAnsi="宋体"/>
          <w:snapToGrid w:val="0"/>
          <w:kern w:val="0"/>
          <w:szCs w:val="21"/>
        </w:rPr>
        <w:t>&lt;37V</w:t>
      </w:r>
      <w:r>
        <w:rPr>
          <w:rFonts w:hint="eastAsia" w:ascii="宋体" w:hAnsi="宋体"/>
          <w:snapToGrid w:val="0"/>
          <w:kern w:val="0"/>
          <w:szCs w:val="21"/>
        </w:rPr>
        <w:t>，故</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障消除后自动恢复工作。</w:t>
      </w:r>
    </w:p>
    <w:p>
      <w:pPr>
        <w:widowControl w:val="0"/>
        <w:numPr>
          <w:ilvl w:val="0"/>
          <w:numId w:val="12"/>
        </w:numPr>
        <w:adjustRightInd w:val="0"/>
        <w:snapToGrid w:val="0"/>
        <w:spacing w:line="400" w:lineRule="exact"/>
        <w:ind w:left="0" w:firstLine="420" w:firstLineChars="200"/>
        <w:textAlignment w:val="baseline"/>
        <w:rPr>
          <w:rFonts w:ascii="宋体" w:hAnsi="宋体"/>
          <w:snapToGrid w:val="0"/>
          <w:kern w:val="0"/>
          <w:szCs w:val="21"/>
        </w:rPr>
      </w:pPr>
      <w:r>
        <w:rPr>
          <w:rFonts w:hint="eastAsia" w:ascii="宋体" w:hAnsi="宋体"/>
          <w:snapToGrid w:val="0"/>
          <w:kern w:val="0"/>
          <w:szCs w:val="21"/>
        </w:rPr>
        <w:t>过欠压保护：</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输入欠压保护点：</w:t>
      </w:r>
      <w:r>
        <w:rPr>
          <w:rFonts w:ascii="宋体" w:hAnsi="宋体"/>
          <w:snapToGrid w:val="0"/>
          <w:kern w:val="0"/>
          <w:szCs w:val="21"/>
        </w:rPr>
        <w:t>85</w:t>
      </w:r>
      <w:r>
        <w:rPr>
          <w:rFonts w:hint="eastAsia" w:ascii="宋体" w:hAnsi="宋体"/>
          <w:snapToGrid w:val="0"/>
          <w:kern w:val="0"/>
          <w:szCs w:val="21"/>
        </w:rPr>
        <w:t>±</w:t>
      </w:r>
      <w:r>
        <w:rPr>
          <w:rFonts w:ascii="宋体" w:hAnsi="宋体"/>
          <w:snapToGrid w:val="0"/>
          <w:kern w:val="0"/>
          <w:szCs w:val="21"/>
        </w:rPr>
        <w:t>5V</w:t>
      </w:r>
      <w:r>
        <w:rPr>
          <w:rFonts w:hint="eastAsia" w:ascii="宋体" w:hAnsi="宋体"/>
          <w:snapToGrid w:val="0"/>
          <w:kern w:val="0"/>
          <w:szCs w:val="21"/>
        </w:rPr>
        <w:t>，回差：</w:t>
      </w:r>
      <w:r>
        <w:rPr>
          <w:rFonts w:ascii="宋体" w:hAnsi="宋体"/>
          <w:snapToGrid w:val="0"/>
          <w:kern w:val="0"/>
          <w:szCs w:val="21"/>
        </w:rPr>
        <w:t>10V~20V</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输入过压保护点：</w:t>
      </w:r>
      <w:r>
        <w:rPr>
          <w:rFonts w:ascii="宋体" w:hAnsi="宋体"/>
          <w:snapToGrid w:val="0"/>
          <w:kern w:val="0"/>
          <w:szCs w:val="21"/>
        </w:rPr>
        <w:t>290~305V</w:t>
      </w:r>
      <w:r>
        <w:rPr>
          <w:rFonts w:hint="eastAsia" w:ascii="宋体" w:hAnsi="宋体"/>
          <w:snapToGrid w:val="0"/>
          <w:kern w:val="0"/>
          <w:szCs w:val="21"/>
        </w:rPr>
        <w:t>，回差：</w:t>
      </w:r>
      <w:r>
        <w:rPr>
          <w:rFonts w:ascii="宋体" w:hAnsi="宋体"/>
          <w:snapToGrid w:val="0"/>
          <w:kern w:val="0"/>
          <w:szCs w:val="21"/>
        </w:rPr>
        <w:t>5~20V</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输出过压保护点：</w:t>
      </w:r>
      <w:r>
        <w:rPr>
          <w:rFonts w:ascii="宋体" w:hAnsi="宋体"/>
          <w:snapToGrid w:val="0"/>
          <w:kern w:val="0"/>
          <w:szCs w:val="21"/>
        </w:rPr>
        <w:t>59.5</w:t>
      </w:r>
      <w:r>
        <w:rPr>
          <w:rFonts w:hint="eastAsia" w:ascii="宋体" w:hAnsi="宋体"/>
          <w:snapToGrid w:val="0"/>
          <w:kern w:val="0"/>
          <w:szCs w:val="21"/>
        </w:rPr>
        <w:t>±</w:t>
      </w:r>
      <w:r>
        <w:rPr>
          <w:rFonts w:ascii="宋体" w:hAnsi="宋体"/>
          <w:snapToGrid w:val="0"/>
          <w:kern w:val="0"/>
          <w:szCs w:val="21"/>
        </w:rPr>
        <w:t>1V</w:t>
      </w:r>
    </w:p>
    <w:p>
      <w:pPr>
        <w:adjustRightInd w:val="0"/>
        <w:snapToGrid w:val="0"/>
        <w:spacing w:line="400" w:lineRule="exact"/>
        <w:ind w:firstLine="420" w:firstLineChars="200"/>
        <w:rPr>
          <w:rFonts w:ascii="宋体" w:hAnsi="宋体"/>
          <w:snapToGrid w:val="0"/>
          <w:kern w:val="0"/>
          <w:szCs w:val="21"/>
        </w:rPr>
      </w:pPr>
      <w:r>
        <w:rPr>
          <w:rFonts w:ascii="宋体" w:hAnsi="宋体"/>
          <w:snapToGrid w:val="0"/>
          <w:kern w:val="0"/>
          <w:szCs w:val="21"/>
        </w:rPr>
        <w:t xml:space="preserve">PFC </w:t>
      </w:r>
      <w:r>
        <w:rPr>
          <w:rFonts w:hint="eastAsia" w:ascii="宋体" w:hAnsi="宋体"/>
          <w:snapToGrid w:val="0"/>
          <w:kern w:val="0"/>
          <w:szCs w:val="21"/>
        </w:rPr>
        <w:t>过压保护：</w:t>
      </w:r>
      <w:r>
        <w:rPr>
          <w:rFonts w:ascii="宋体" w:hAnsi="宋体"/>
          <w:snapToGrid w:val="0"/>
          <w:kern w:val="0"/>
          <w:szCs w:val="21"/>
        </w:rPr>
        <w:t xml:space="preserve"> 425V</w:t>
      </w:r>
      <w:r>
        <w:rPr>
          <w:rFonts w:hint="eastAsia" w:ascii="宋体" w:hAnsi="宋体"/>
          <w:snapToGrid w:val="0"/>
          <w:kern w:val="0"/>
          <w:szCs w:val="21"/>
        </w:rPr>
        <w:t>±</w:t>
      </w:r>
      <w:r>
        <w:rPr>
          <w:rFonts w:ascii="宋体" w:hAnsi="宋体"/>
          <w:snapToGrid w:val="0"/>
          <w:kern w:val="0"/>
          <w:szCs w:val="21"/>
        </w:rPr>
        <w:t>5V</w:t>
      </w:r>
      <w:r>
        <w:rPr>
          <w:rFonts w:hint="eastAsia" w:ascii="宋体" w:hAnsi="宋体"/>
          <w:snapToGrid w:val="0"/>
          <w:kern w:val="0"/>
          <w:szCs w:val="21"/>
        </w:rPr>
        <w:t>，回差：</w:t>
      </w:r>
      <w:r>
        <w:rPr>
          <w:rFonts w:ascii="宋体" w:hAnsi="宋体"/>
          <w:snapToGrid w:val="0"/>
          <w:kern w:val="0"/>
          <w:szCs w:val="21"/>
        </w:rPr>
        <w:t>10V</w:t>
      </w:r>
    </w:p>
    <w:p>
      <w:pPr>
        <w:widowControl w:val="0"/>
        <w:numPr>
          <w:ilvl w:val="0"/>
          <w:numId w:val="12"/>
        </w:numPr>
        <w:adjustRightInd w:val="0"/>
        <w:snapToGrid w:val="0"/>
        <w:spacing w:line="400" w:lineRule="exact"/>
        <w:ind w:left="0" w:firstLine="420" w:firstLineChars="200"/>
        <w:textAlignment w:val="baseline"/>
        <w:rPr>
          <w:rFonts w:ascii="宋体" w:hAnsi="宋体"/>
          <w:snapToGrid w:val="0"/>
          <w:kern w:val="0"/>
          <w:szCs w:val="21"/>
        </w:rPr>
      </w:pPr>
      <w:r>
        <w:rPr>
          <w:rFonts w:hint="eastAsia" w:ascii="宋体" w:hAnsi="宋体"/>
          <w:snapToGrid w:val="0"/>
          <w:kern w:val="0"/>
          <w:szCs w:val="21"/>
        </w:rPr>
        <w:t>其它保护</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模块过温保护</w:t>
      </w:r>
      <w:r>
        <w:rPr>
          <w:rFonts w:ascii="宋体" w:hAnsi="宋体"/>
          <w:snapToGrid w:val="0"/>
          <w:kern w:val="0"/>
          <w:szCs w:val="21"/>
        </w:rPr>
        <w:t>(90</w:t>
      </w:r>
      <w:r>
        <w:rPr>
          <w:rFonts w:hint="eastAsia" w:ascii="宋体" w:hAnsi="宋体"/>
          <w:snapToGrid w:val="0"/>
          <w:kern w:val="0"/>
          <w:szCs w:val="21"/>
        </w:rPr>
        <w:t>℃，回差</w:t>
      </w:r>
      <w:r>
        <w:rPr>
          <w:rFonts w:ascii="宋体" w:hAnsi="宋体"/>
          <w:snapToGrid w:val="0"/>
          <w:kern w:val="0"/>
          <w:szCs w:val="21"/>
        </w:rPr>
        <w:t>10</w:t>
      </w:r>
      <w:r>
        <w:rPr>
          <w:rFonts w:hint="eastAsia" w:ascii="宋体" w:hAnsi="宋体"/>
          <w:snapToGrid w:val="0"/>
          <w:kern w:val="0"/>
          <w:szCs w:val="21"/>
        </w:rPr>
        <w:t>℃）</w:t>
      </w:r>
    </w:p>
    <w:p>
      <w:pPr>
        <w:widowControl w:val="0"/>
        <w:numPr>
          <w:ilvl w:val="0"/>
          <w:numId w:val="10"/>
        </w:numPr>
        <w:adjustRightInd w:val="0"/>
        <w:snapToGrid w:val="0"/>
        <w:spacing w:line="400" w:lineRule="exact"/>
        <w:ind w:left="0" w:firstLine="420" w:firstLineChars="200"/>
        <w:textAlignment w:val="baseline"/>
        <w:rPr>
          <w:rFonts w:ascii="宋体" w:hAnsi="宋体"/>
          <w:snapToGrid w:val="0"/>
          <w:kern w:val="0"/>
          <w:szCs w:val="21"/>
        </w:rPr>
      </w:pPr>
      <w:r>
        <w:rPr>
          <w:rFonts w:hint="eastAsia" w:ascii="宋体" w:hAnsi="宋体"/>
          <w:snapToGrid w:val="0"/>
          <w:kern w:val="0"/>
          <w:szCs w:val="21"/>
        </w:rPr>
        <w:t>模块外型尺寸：</w:t>
      </w:r>
      <w:r>
        <w:rPr>
          <w:rFonts w:ascii="宋体" w:hAnsi="宋体"/>
          <w:snapToGrid w:val="0"/>
          <w:kern w:val="0"/>
          <w:szCs w:val="21"/>
        </w:rPr>
        <w:t>132.5mm(</w:t>
      </w:r>
      <w:r>
        <w:rPr>
          <w:rFonts w:hint="eastAsia" w:ascii="宋体" w:hAnsi="宋体"/>
          <w:snapToGrid w:val="0"/>
          <w:kern w:val="0"/>
          <w:szCs w:val="21"/>
        </w:rPr>
        <w:t>高</w:t>
      </w:r>
      <w:r>
        <w:rPr>
          <w:rFonts w:ascii="宋体" w:hAnsi="宋体"/>
          <w:snapToGrid w:val="0"/>
          <w:kern w:val="0"/>
          <w:szCs w:val="21"/>
        </w:rPr>
        <w:t>)</w:t>
      </w:r>
      <w:r>
        <w:rPr>
          <w:rFonts w:hint="eastAsia" w:ascii="宋体" w:hAnsi="宋体"/>
          <w:snapToGrid w:val="0"/>
          <w:kern w:val="0"/>
          <w:szCs w:val="21"/>
        </w:rPr>
        <w:t>×</w:t>
      </w:r>
      <w:r>
        <w:rPr>
          <w:rFonts w:ascii="宋体" w:hAnsi="宋体"/>
          <w:snapToGrid w:val="0"/>
          <w:kern w:val="0"/>
          <w:szCs w:val="21"/>
        </w:rPr>
        <w:t>88mm(</w:t>
      </w:r>
      <w:r>
        <w:rPr>
          <w:rFonts w:hint="eastAsia" w:ascii="宋体" w:hAnsi="宋体"/>
          <w:snapToGrid w:val="0"/>
          <w:kern w:val="0"/>
          <w:szCs w:val="21"/>
        </w:rPr>
        <w:t>宽</w:t>
      </w:r>
      <w:r>
        <w:rPr>
          <w:rFonts w:ascii="宋体" w:hAnsi="宋体"/>
          <w:snapToGrid w:val="0"/>
          <w:kern w:val="0"/>
          <w:szCs w:val="21"/>
        </w:rPr>
        <w:t>)</w:t>
      </w:r>
      <w:r>
        <w:rPr>
          <w:rFonts w:hint="eastAsia" w:ascii="宋体" w:hAnsi="宋体"/>
          <w:snapToGrid w:val="0"/>
          <w:kern w:val="0"/>
          <w:szCs w:val="21"/>
        </w:rPr>
        <w:t>×</w:t>
      </w:r>
      <w:r>
        <w:rPr>
          <w:rFonts w:ascii="宋体" w:hAnsi="宋体"/>
          <w:snapToGrid w:val="0"/>
          <w:kern w:val="0"/>
          <w:szCs w:val="21"/>
        </w:rPr>
        <w:t>330mm(</w:t>
      </w:r>
      <w:r>
        <w:rPr>
          <w:rFonts w:hint="eastAsia" w:ascii="宋体" w:hAnsi="宋体"/>
          <w:snapToGrid w:val="0"/>
          <w:kern w:val="0"/>
          <w:szCs w:val="21"/>
        </w:rPr>
        <w:t>深</w:t>
      </w:r>
      <w:r>
        <w:rPr>
          <w:rFonts w:ascii="宋体" w:hAnsi="宋体"/>
          <w:snapToGrid w:val="0"/>
          <w:kern w:val="0"/>
          <w:szCs w:val="21"/>
        </w:rPr>
        <w:t>)</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深度不包括热插拔器件</w:t>
      </w:r>
    </w:p>
    <w:p>
      <w:pPr>
        <w:widowControl w:val="0"/>
        <w:numPr>
          <w:ilvl w:val="0"/>
          <w:numId w:val="10"/>
        </w:numPr>
        <w:adjustRightInd w:val="0"/>
        <w:snapToGrid w:val="0"/>
        <w:spacing w:line="400" w:lineRule="exact"/>
        <w:ind w:left="0" w:firstLine="420" w:firstLineChars="200"/>
        <w:textAlignment w:val="baseline"/>
        <w:rPr>
          <w:rFonts w:ascii="宋体" w:hAnsi="宋体"/>
          <w:snapToGrid w:val="0"/>
          <w:kern w:val="0"/>
          <w:szCs w:val="21"/>
        </w:rPr>
      </w:pPr>
      <w:r>
        <w:rPr>
          <w:rFonts w:hint="eastAsia" w:ascii="宋体" w:hAnsi="宋体"/>
          <w:snapToGrid w:val="0"/>
          <w:kern w:val="0"/>
          <w:szCs w:val="21"/>
        </w:rPr>
        <w:t>重量：≤</w:t>
      </w:r>
      <w:r>
        <w:rPr>
          <w:rFonts w:ascii="宋体" w:hAnsi="宋体"/>
          <w:snapToGrid w:val="0"/>
          <w:kern w:val="0"/>
          <w:szCs w:val="21"/>
        </w:rPr>
        <w:t>3kg</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3.7.2  蓄电池主要参数</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依照IEC 60896“铅电池设备”规定的全密封、免维护、对环境无影响的48V/200Ah铅酸电池。</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电池应含完整的机柜及外包装。</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_采用阀控式密封铅酸蓄电池.</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_安全阀要求：应具有自动开启和自动关闭的功能；</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_电池在正常工作过程中应无酸雾逸出；</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_蓄电池均衡充电单体电压为：</w:t>
      </w:r>
      <w:r>
        <w:rPr>
          <w:rFonts w:ascii="宋体" w:hAnsi="宋体"/>
          <w:snapToGrid w:val="0"/>
          <w:kern w:val="0"/>
          <w:szCs w:val="21"/>
        </w:rPr>
        <w:t>2.30V</w:t>
      </w:r>
      <w:r>
        <w:rPr>
          <w:rFonts w:hint="eastAsia" w:ascii="宋体" w:hAnsi="宋体"/>
          <w:snapToGrid w:val="0"/>
          <w:kern w:val="0"/>
          <w:szCs w:val="21"/>
        </w:rPr>
        <w:t>~</w:t>
      </w:r>
      <w:r>
        <w:rPr>
          <w:rFonts w:ascii="宋体" w:hAnsi="宋体"/>
          <w:snapToGrid w:val="0"/>
          <w:kern w:val="0"/>
          <w:szCs w:val="21"/>
        </w:rPr>
        <w:t>2.35V</w:t>
      </w:r>
      <w:r>
        <w:rPr>
          <w:rFonts w:hint="eastAsia" w:ascii="宋体" w:hAnsi="宋体"/>
          <w:snapToGrid w:val="0"/>
          <w:kern w:val="0"/>
          <w:szCs w:val="21"/>
        </w:rPr>
        <w:t>，（应有自动</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温度补偿功能）；</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_蓄电池浮充电单体电压为：</w:t>
      </w:r>
      <w:r>
        <w:rPr>
          <w:rFonts w:ascii="宋体" w:hAnsi="宋体"/>
          <w:snapToGrid w:val="0"/>
          <w:kern w:val="0"/>
          <w:szCs w:val="21"/>
        </w:rPr>
        <w:t>2.</w:t>
      </w:r>
      <w:r>
        <w:rPr>
          <w:rFonts w:hint="eastAsia" w:ascii="宋体" w:hAnsi="宋体"/>
          <w:snapToGrid w:val="0"/>
          <w:kern w:val="0"/>
          <w:szCs w:val="21"/>
        </w:rPr>
        <w:t>23</w:t>
      </w:r>
      <w:r>
        <w:rPr>
          <w:rFonts w:ascii="宋体" w:hAnsi="宋体"/>
          <w:snapToGrid w:val="0"/>
          <w:kern w:val="0"/>
          <w:szCs w:val="21"/>
        </w:rPr>
        <w:t>V</w:t>
      </w:r>
      <w:r>
        <w:rPr>
          <w:rFonts w:hint="eastAsia" w:ascii="宋体" w:hAnsi="宋体"/>
          <w:snapToGrid w:val="0"/>
          <w:kern w:val="0"/>
          <w:szCs w:val="21"/>
        </w:rPr>
        <w:t>~</w:t>
      </w:r>
      <w:r>
        <w:rPr>
          <w:rFonts w:ascii="宋体" w:hAnsi="宋体"/>
          <w:snapToGrid w:val="0"/>
          <w:kern w:val="0"/>
          <w:szCs w:val="21"/>
        </w:rPr>
        <w:t>2.</w:t>
      </w:r>
      <w:r>
        <w:rPr>
          <w:rFonts w:hint="eastAsia" w:ascii="宋体" w:hAnsi="宋体"/>
          <w:snapToGrid w:val="0"/>
          <w:kern w:val="0"/>
          <w:szCs w:val="21"/>
        </w:rPr>
        <w:t>27</w:t>
      </w:r>
      <w:r>
        <w:rPr>
          <w:rFonts w:ascii="宋体" w:hAnsi="宋体"/>
          <w:snapToGrid w:val="0"/>
          <w:kern w:val="0"/>
          <w:szCs w:val="21"/>
        </w:rPr>
        <w:t>V</w:t>
      </w:r>
      <w:r>
        <w:rPr>
          <w:rFonts w:hint="eastAsia" w:ascii="宋体" w:hAnsi="宋体"/>
          <w:snapToGrid w:val="0"/>
          <w:kern w:val="0"/>
          <w:szCs w:val="21"/>
        </w:rPr>
        <w:t>，（应有自动</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温度补偿功能）；</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_蓄电池组单体电池开路电压最高与最低差值不大于20</w:t>
      </w:r>
      <w:r>
        <w:rPr>
          <w:rFonts w:ascii="宋体" w:hAnsi="宋体"/>
          <w:snapToGrid w:val="0"/>
          <w:kern w:val="0"/>
          <w:szCs w:val="21"/>
        </w:rPr>
        <w:t>mV</w:t>
      </w:r>
      <w:r>
        <w:rPr>
          <w:rFonts w:hint="eastAsia" w:ascii="宋体" w:hAnsi="宋体"/>
          <w:snapToGrid w:val="0"/>
          <w:kern w:val="0"/>
          <w:szCs w:val="21"/>
        </w:rPr>
        <w:t>；</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_蓄电池组电压：48V；</w:t>
      </w:r>
    </w:p>
    <w:p>
      <w:pPr>
        <w:adjustRightInd w:val="0"/>
        <w:snapToGrid w:val="0"/>
        <w:spacing w:line="400" w:lineRule="exact"/>
        <w:ind w:firstLine="420" w:firstLineChars="200"/>
        <w:rPr>
          <w:rFonts w:ascii="宋体" w:hAnsi="宋体"/>
          <w:snapToGrid w:val="0"/>
          <w:kern w:val="0"/>
          <w:szCs w:val="21"/>
        </w:rPr>
      </w:pPr>
      <w:bookmarkStart w:id="195" w:name="_Toc155264396"/>
      <w:r>
        <w:rPr>
          <w:rFonts w:hint="eastAsia" w:ascii="宋体" w:hAnsi="宋体"/>
          <w:snapToGrid w:val="0"/>
          <w:kern w:val="0"/>
          <w:szCs w:val="21"/>
        </w:rPr>
        <w:t>3.7.3  电源与接地条件</w:t>
      </w:r>
      <w:bookmarkEnd w:id="195"/>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(1)-48伏直流电源在各通信设备机架输入端波动范围为-</w:t>
      </w:r>
      <w:r>
        <w:rPr>
          <w:rFonts w:ascii="宋体" w:hAnsi="宋体"/>
          <w:snapToGrid w:val="0"/>
          <w:kern w:val="0"/>
          <w:szCs w:val="21"/>
        </w:rPr>
        <w:t>44</w:t>
      </w:r>
      <w:r>
        <w:rPr>
          <w:rFonts w:hint="eastAsia" w:ascii="宋体" w:hAnsi="宋体"/>
          <w:snapToGrid w:val="0"/>
          <w:kern w:val="0"/>
          <w:szCs w:val="21"/>
        </w:rPr>
        <w:t>~</w:t>
      </w:r>
      <w:r>
        <w:rPr>
          <w:rFonts w:ascii="宋体" w:hAnsi="宋体"/>
          <w:snapToGrid w:val="0"/>
          <w:kern w:val="0"/>
          <w:szCs w:val="21"/>
        </w:rPr>
        <w:t>-54</w:t>
      </w:r>
      <w:r>
        <w:rPr>
          <w:rFonts w:hint="eastAsia" w:ascii="宋体" w:hAnsi="宋体"/>
          <w:snapToGrid w:val="0"/>
          <w:kern w:val="0"/>
          <w:szCs w:val="21"/>
        </w:rPr>
        <w:t>V。</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(2)直流电源输出端的杂音电压值小于2.4mV。</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(3)交流电源</w:t>
      </w:r>
      <w:r>
        <w:rPr>
          <w:rFonts w:hint="eastAsia" w:ascii="MingLiU_HKSCS" w:hAnsi="MingLiU_HKSCS" w:eastAsia="MingLiU_HKSCS" w:cs="MingLiU_HKSCS"/>
          <w:snapToGrid w:val="0"/>
          <w:kern w:val="0"/>
          <w:szCs w:val="21"/>
        </w:rPr>
        <w:t></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220V±</w:t>
      </w:r>
      <w:r>
        <w:rPr>
          <w:rFonts w:ascii="宋体" w:hAnsi="宋体"/>
          <w:snapToGrid w:val="0"/>
          <w:kern w:val="0"/>
          <w:szCs w:val="21"/>
        </w:rPr>
        <w:t>15</w:t>
      </w:r>
      <w:r>
        <w:rPr>
          <w:rFonts w:hint="eastAsia" w:ascii="宋体" w:hAnsi="宋体"/>
          <w:snapToGrid w:val="0"/>
          <w:kern w:val="0"/>
          <w:szCs w:val="21"/>
        </w:rPr>
        <w:t>％</w:t>
      </w:r>
      <w:r>
        <w:rPr>
          <w:rFonts w:ascii="宋体" w:hAnsi="宋体"/>
          <w:snapToGrid w:val="0"/>
          <w:kern w:val="0"/>
          <w:szCs w:val="21"/>
        </w:rPr>
        <w:t xml:space="preserve">   </w:t>
      </w:r>
      <w:r>
        <w:rPr>
          <w:rFonts w:hint="eastAsia" w:ascii="宋体" w:hAnsi="宋体"/>
          <w:snapToGrid w:val="0"/>
          <w:kern w:val="0"/>
          <w:szCs w:val="21"/>
        </w:rPr>
        <w:t>频率为50Hｚ＋</w:t>
      </w:r>
      <w:r>
        <w:rPr>
          <w:rFonts w:ascii="宋体" w:hAnsi="宋体"/>
          <w:snapToGrid w:val="0"/>
          <w:kern w:val="0"/>
          <w:szCs w:val="21"/>
        </w:rPr>
        <w:t>2</w:t>
      </w:r>
      <w:r>
        <w:rPr>
          <w:rFonts w:hint="eastAsia" w:ascii="宋体" w:hAnsi="宋体"/>
          <w:snapToGrid w:val="0"/>
          <w:kern w:val="0"/>
          <w:szCs w:val="21"/>
        </w:rPr>
        <w:t>～</w:t>
      </w:r>
      <w:r>
        <w:rPr>
          <w:rFonts w:ascii="宋体" w:hAnsi="宋体"/>
          <w:snapToGrid w:val="0"/>
          <w:kern w:val="0"/>
          <w:szCs w:val="21"/>
        </w:rPr>
        <w:t>-3</w:t>
      </w:r>
      <w:r>
        <w:rPr>
          <w:rFonts w:hint="eastAsia" w:ascii="宋体" w:hAnsi="宋体"/>
          <w:snapToGrid w:val="0"/>
          <w:kern w:val="0"/>
          <w:szCs w:val="21"/>
        </w:rPr>
        <w:t>Hz。</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(4)直流电源接地方式采用正极接地。</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(5)工作地线接地电阻小于5</w:t>
      </w:r>
      <w:r>
        <w:rPr>
          <w:rFonts w:ascii="宋体" w:hAnsi="宋体"/>
          <w:snapToGrid w:val="0"/>
          <w:kern w:val="0"/>
          <w:szCs w:val="21"/>
        </w:rPr>
        <w:t>Ω</w:t>
      </w:r>
      <w:r>
        <w:rPr>
          <w:rFonts w:hint="eastAsia" w:ascii="宋体" w:hAnsi="宋体"/>
          <w:snapToGrid w:val="0"/>
          <w:kern w:val="0"/>
          <w:szCs w:val="21"/>
        </w:rPr>
        <w:t>。</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保护地线的接地电阻小于8</w:t>
      </w:r>
      <w:r>
        <w:rPr>
          <w:rFonts w:ascii="宋体" w:hAnsi="宋体"/>
          <w:snapToGrid w:val="0"/>
          <w:kern w:val="0"/>
          <w:szCs w:val="21"/>
        </w:rPr>
        <w:t>Ω</w:t>
      </w:r>
      <w:r>
        <w:rPr>
          <w:rFonts w:hint="eastAsia" w:ascii="宋体" w:hAnsi="宋体"/>
          <w:snapToGrid w:val="0"/>
          <w:kern w:val="0"/>
          <w:szCs w:val="21"/>
        </w:rPr>
        <w:t>。</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均与泵站总接地网连接。</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(6)机房内各机架间的地线的电位差允许最大可达0.5V。</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(7) 用户交换机与接口端局之间的接地电位差允许小于6V。</w:t>
      </w:r>
    </w:p>
    <w:p>
      <w:pPr>
        <w:adjustRightInd w:val="0"/>
        <w:snapToGrid w:val="0"/>
        <w:spacing w:line="400" w:lineRule="exact"/>
        <w:ind w:firstLine="420" w:firstLineChars="200"/>
        <w:rPr>
          <w:rFonts w:ascii="宋体" w:hAnsi="宋体"/>
          <w:snapToGrid w:val="0"/>
          <w:kern w:val="0"/>
          <w:szCs w:val="21"/>
        </w:rPr>
      </w:pPr>
      <w:bookmarkStart w:id="196" w:name="_Toc155264397"/>
      <w:r>
        <w:rPr>
          <w:rFonts w:hint="eastAsia" w:ascii="宋体" w:hAnsi="宋体"/>
          <w:snapToGrid w:val="0"/>
          <w:kern w:val="0"/>
          <w:szCs w:val="21"/>
        </w:rPr>
        <w:t>3.7.4  过压保护与抗干扰</w:t>
      </w:r>
      <w:bookmarkEnd w:id="196"/>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(1)通信设备至少应能承受50Hｚ交流纵向感应电动势大于8V(均方根值RMS)的能力。</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(2)设备对过压和过流的保护性能，应满足ITU-T  K2.0建议要求。</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(3) 在总配线架上对所有与外线连接的部位，加装保护.</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3.7.5  通讯工作站</w:t>
      </w:r>
    </w:p>
    <w:p>
      <w:pPr>
        <w:pStyle w:val="38"/>
        <w:adjustRightInd w:val="0"/>
        <w:snapToGrid w:val="0"/>
        <w:spacing w:after="0" w:line="400" w:lineRule="exact"/>
        <w:ind w:left="0" w:leftChars="0" w:firstLine="420" w:firstLineChars="200"/>
        <w:rPr>
          <w:rFonts w:ascii="宋体" w:hAnsi="宋体"/>
          <w:snapToGrid w:val="0"/>
          <w:kern w:val="0"/>
          <w:szCs w:val="21"/>
        </w:rPr>
      </w:pPr>
      <w:r>
        <w:rPr>
          <w:rFonts w:ascii="宋体" w:hAnsi="宋体"/>
          <w:snapToGrid w:val="0"/>
          <w:kern w:val="0"/>
          <w:szCs w:val="21"/>
        </w:rPr>
        <w:t>通信工作站</w:t>
      </w:r>
      <w:r>
        <w:rPr>
          <w:rFonts w:hint="eastAsia" w:ascii="宋体" w:hAnsi="宋体"/>
          <w:snapToGrid w:val="0"/>
          <w:kern w:val="0"/>
          <w:szCs w:val="21"/>
        </w:rPr>
        <w:t>(</w:t>
      </w:r>
      <w:r>
        <w:rPr>
          <w:rFonts w:hint="eastAsia" w:ascii="宋体" w:hAnsi="宋体"/>
          <w:snapToGrid w:val="0"/>
          <w:kern w:val="0"/>
          <w:szCs w:val="21"/>
          <w:shd w:val="solid" w:color="FFFFFF" w:fill="auto"/>
        </w:rPr>
        <w:t xml:space="preserve">HP </w:t>
      </w:r>
      <w:r>
        <w:rPr>
          <w:rFonts w:ascii="宋体" w:hAnsi="宋体"/>
          <w:snapToGrid w:val="0"/>
          <w:kern w:val="0"/>
          <w:szCs w:val="21"/>
          <w:shd w:val="solid" w:color="FFFFFF" w:fill="auto"/>
        </w:rPr>
        <w:t>–</w:t>
      </w:r>
      <w:r>
        <w:rPr>
          <w:rFonts w:hint="eastAsia" w:ascii="宋体" w:hAnsi="宋体"/>
          <w:snapToGrid w:val="0"/>
          <w:kern w:val="0"/>
          <w:szCs w:val="21"/>
          <w:shd w:val="solid" w:color="FFFFFF" w:fill="auto"/>
        </w:rPr>
        <w:t>Z420）</w:t>
      </w:r>
    </w:p>
    <w:p>
      <w:pPr>
        <w:adjustRightInd w:val="0"/>
        <w:snapToGrid w:val="0"/>
        <w:spacing w:line="400" w:lineRule="exact"/>
        <w:ind w:firstLine="420" w:firstLineChars="200"/>
        <w:rPr>
          <w:rFonts w:ascii="宋体" w:hAnsi="宋体"/>
          <w:snapToGrid w:val="0"/>
          <w:kern w:val="0"/>
          <w:szCs w:val="21"/>
        </w:rPr>
      </w:pPr>
      <w:r>
        <w:rPr>
          <w:rFonts w:ascii="宋体" w:hAnsi="宋体"/>
          <w:snapToGrid w:val="0"/>
          <w:kern w:val="0"/>
          <w:szCs w:val="21"/>
        </w:rPr>
        <w:t>包括：CPU：</w:t>
      </w:r>
      <w:r>
        <w:rPr>
          <w:rFonts w:hint="eastAsia" w:ascii="宋体" w:hAnsi="宋体"/>
          <w:snapToGrid w:val="0"/>
          <w:kern w:val="0"/>
          <w:szCs w:val="21"/>
        </w:rPr>
        <w:t>E5-1607</w:t>
      </w:r>
    </w:p>
    <w:p>
      <w:pPr>
        <w:pStyle w:val="38"/>
        <w:adjustRightInd w:val="0"/>
        <w:snapToGrid w:val="0"/>
        <w:spacing w:after="0" w:line="400" w:lineRule="exact"/>
        <w:ind w:left="0" w:leftChars="0" w:firstLine="420" w:firstLineChars="200"/>
        <w:rPr>
          <w:rFonts w:ascii="宋体" w:hAnsi="宋体"/>
          <w:snapToGrid w:val="0"/>
          <w:kern w:val="0"/>
          <w:szCs w:val="21"/>
        </w:rPr>
      </w:pPr>
      <w:r>
        <w:rPr>
          <w:rFonts w:ascii="宋体" w:hAnsi="宋体"/>
          <w:snapToGrid w:val="0"/>
          <w:kern w:val="0"/>
          <w:szCs w:val="21"/>
        </w:rPr>
        <w:t>主频：</w:t>
      </w:r>
      <w:r>
        <w:rPr>
          <w:rFonts w:hint="eastAsia" w:ascii="宋体" w:hAnsi="宋体"/>
          <w:snapToGrid w:val="0"/>
          <w:kern w:val="0"/>
          <w:szCs w:val="21"/>
        </w:rPr>
        <w:t>≥3</w:t>
      </w:r>
      <w:r>
        <w:rPr>
          <w:rFonts w:ascii="宋体" w:hAnsi="宋体"/>
          <w:snapToGrid w:val="0"/>
          <w:kern w:val="0"/>
          <w:szCs w:val="21"/>
        </w:rPr>
        <w:t>GHz</w:t>
      </w:r>
    </w:p>
    <w:p>
      <w:pPr>
        <w:pStyle w:val="38"/>
        <w:adjustRightInd w:val="0"/>
        <w:snapToGrid w:val="0"/>
        <w:spacing w:after="0" w:line="400" w:lineRule="exact"/>
        <w:ind w:left="0" w:leftChars="0" w:firstLine="420" w:firstLineChars="200"/>
        <w:rPr>
          <w:rFonts w:ascii="宋体" w:hAnsi="宋体"/>
          <w:snapToGrid w:val="0"/>
          <w:kern w:val="0"/>
          <w:szCs w:val="21"/>
        </w:rPr>
      </w:pPr>
      <w:r>
        <w:rPr>
          <w:rFonts w:ascii="宋体" w:hAnsi="宋体"/>
          <w:snapToGrid w:val="0"/>
          <w:kern w:val="0"/>
          <w:szCs w:val="21"/>
        </w:rPr>
        <w:t>内存：</w:t>
      </w:r>
      <w:r>
        <w:rPr>
          <w:rFonts w:hint="eastAsia" w:ascii="宋体" w:hAnsi="宋体"/>
          <w:snapToGrid w:val="0"/>
          <w:kern w:val="0"/>
          <w:szCs w:val="21"/>
        </w:rPr>
        <w:t>4</w:t>
      </w:r>
      <w:r>
        <w:rPr>
          <w:rFonts w:ascii="宋体" w:hAnsi="宋体"/>
          <w:snapToGrid w:val="0"/>
          <w:kern w:val="0"/>
          <w:szCs w:val="21"/>
        </w:rPr>
        <w:t>GB</w:t>
      </w:r>
    </w:p>
    <w:p>
      <w:pPr>
        <w:pStyle w:val="38"/>
        <w:adjustRightInd w:val="0"/>
        <w:snapToGrid w:val="0"/>
        <w:spacing w:after="0" w:line="400" w:lineRule="exact"/>
        <w:ind w:left="0" w:leftChars="0" w:firstLine="420" w:firstLineChars="200"/>
        <w:rPr>
          <w:rFonts w:ascii="宋体" w:hAnsi="宋体"/>
          <w:snapToGrid w:val="0"/>
          <w:kern w:val="0"/>
          <w:szCs w:val="21"/>
        </w:rPr>
      </w:pPr>
      <w:r>
        <w:rPr>
          <w:rFonts w:ascii="宋体" w:hAnsi="宋体"/>
          <w:snapToGrid w:val="0"/>
          <w:kern w:val="0"/>
          <w:szCs w:val="21"/>
        </w:rPr>
        <w:t>硬盘：</w:t>
      </w:r>
      <w:r>
        <w:rPr>
          <w:rFonts w:hint="eastAsia" w:ascii="宋体" w:hAnsi="宋体"/>
          <w:snapToGrid w:val="0"/>
          <w:kern w:val="0"/>
          <w:szCs w:val="21"/>
        </w:rPr>
        <w:t>50</w:t>
      </w:r>
      <w:r>
        <w:rPr>
          <w:rFonts w:ascii="宋体" w:hAnsi="宋体"/>
          <w:snapToGrid w:val="0"/>
          <w:kern w:val="0"/>
          <w:szCs w:val="21"/>
        </w:rPr>
        <w:t>0G</w:t>
      </w:r>
    </w:p>
    <w:p>
      <w:pPr>
        <w:pStyle w:val="38"/>
        <w:adjustRightInd w:val="0"/>
        <w:snapToGrid w:val="0"/>
        <w:spacing w:after="0" w:line="400" w:lineRule="exact"/>
        <w:ind w:left="0" w:leftChars="0" w:firstLine="420" w:firstLineChars="200"/>
        <w:rPr>
          <w:rFonts w:ascii="宋体" w:hAnsi="宋体"/>
          <w:snapToGrid w:val="0"/>
          <w:kern w:val="0"/>
          <w:szCs w:val="21"/>
        </w:rPr>
      </w:pPr>
      <w:r>
        <w:rPr>
          <w:rFonts w:hint="eastAsia" w:ascii="宋体" w:hAnsi="宋体"/>
          <w:snapToGrid w:val="0"/>
          <w:kern w:val="0"/>
          <w:szCs w:val="21"/>
        </w:rPr>
        <w:t>显</w:t>
      </w:r>
      <w:r>
        <w:rPr>
          <w:rFonts w:ascii="宋体" w:hAnsi="宋体"/>
          <w:snapToGrid w:val="0"/>
          <w:kern w:val="0"/>
          <w:szCs w:val="21"/>
        </w:rPr>
        <w:t>卡</w:t>
      </w:r>
      <w:r>
        <w:rPr>
          <w:rFonts w:hint="eastAsia" w:ascii="宋体" w:hAnsi="宋体"/>
          <w:snapToGrid w:val="0"/>
          <w:kern w:val="0"/>
          <w:szCs w:val="21"/>
        </w:rPr>
        <w:t>：NVS300</w:t>
      </w:r>
    </w:p>
    <w:p>
      <w:pPr>
        <w:pStyle w:val="38"/>
        <w:adjustRightInd w:val="0"/>
        <w:snapToGrid w:val="0"/>
        <w:spacing w:after="0" w:line="400" w:lineRule="exact"/>
        <w:ind w:left="0" w:leftChars="0" w:firstLine="420" w:firstLineChars="200"/>
        <w:rPr>
          <w:rFonts w:ascii="宋体" w:hAnsi="宋体"/>
          <w:snapToGrid w:val="0"/>
          <w:kern w:val="0"/>
          <w:szCs w:val="21"/>
        </w:rPr>
      </w:pPr>
      <w:r>
        <w:rPr>
          <w:rFonts w:ascii="宋体" w:hAnsi="宋体"/>
          <w:snapToGrid w:val="0"/>
          <w:kern w:val="0"/>
          <w:szCs w:val="21"/>
        </w:rPr>
        <w:t>DVD/CD-RW光驱</w:t>
      </w:r>
    </w:p>
    <w:p>
      <w:pPr>
        <w:pStyle w:val="38"/>
        <w:adjustRightInd w:val="0"/>
        <w:snapToGrid w:val="0"/>
        <w:spacing w:after="0" w:line="400" w:lineRule="exact"/>
        <w:ind w:left="0" w:leftChars="0" w:firstLine="420" w:firstLineChars="200"/>
        <w:rPr>
          <w:rFonts w:ascii="宋体" w:hAnsi="宋体"/>
          <w:snapToGrid w:val="0"/>
          <w:kern w:val="0"/>
          <w:szCs w:val="21"/>
        </w:rPr>
      </w:pPr>
      <w:r>
        <w:rPr>
          <w:rFonts w:ascii="宋体" w:hAnsi="宋体"/>
          <w:snapToGrid w:val="0"/>
          <w:kern w:val="0"/>
          <w:szCs w:val="21"/>
        </w:rPr>
        <w:t>通讯口：2串1并，</w:t>
      </w:r>
      <w:r>
        <w:rPr>
          <w:rFonts w:hint="eastAsia" w:ascii="宋体" w:hAnsi="宋体"/>
          <w:snapToGrid w:val="0"/>
          <w:kern w:val="0"/>
          <w:szCs w:val="21"/>
        </w:rPr>
        <w:t>2个</w:t>
      </w:r>
      <w:r>
        <w:rPr>
          <w:rFonts w:ascii="宋体" w:hAnsi="宋体"/>
          <w:snapToGrid w:val="0"/>
          <w:kern w:val="0"/>
          <w:szCs w:val="21"/>
        </w:rPr>
        <w:t>USB接口</w:t>
      </w:r>
    </w:p>
    <w:p>
      <w:pPr>
        <w:pStyle w:val="38"/>
        <w:adjustRightInd w:val="0"/>
        <w:snapToGrid w:val="0"/>
        <w:spacing w:after="0" w:line="400" w:lineRule="exact"/>
        <w:ind w:left="0" w:leftChars="0" w:firstLine="420" w:firstLineChars="200"/>
        <w:rPr>
          <w:rFonts w:ascii="宋体" w:hAnsi="宋体"/>
          <w:snapToGrid w:val="0"/>
          <w:kern w:val="0"/>
          <w:szCs w:val="21"/>
        </w:rPr>
      </w:pPr>
      <w:r>
        <w:rPr>
          <w:rFonts w:ascii="宋体" w:hAnsi="宋体"/>
          <w:snapToGrid w:val="0"/>
          <w:kern w:val="0"/>
          <w:szCs w:val="21"/>
        </w:rPr>
        <w:t>显示器：</w:t>
      </w:r>
      <w:r>
        <w:rPr>
          <w:rFonts w:hint="eastAsia" w:ascii="宋体" w:hAnsi="宋体"/>
          <w:snapToGrid w:val="0"/>
          <w:kern w:val="0"/>
          <w:szCs w:val="21"/>
        </w:rPr>
        <w:t>1台24</w:t>
      </w:r>
      <w:r>
        <w:rPr>
          <w:rFonts w:ascii="宋体" w:hAnsi="宋体"/>
          <w:snapToGrid w:val="0"/>
          <w:kern w:val="0"/>
          <w:szCs w:val="21"/>
        </w:rPr>
        <w:t>″液晶彩色显示器</w:t>
      </w:r>
      <w:r>
        <w:rPr>
          <w:rFonts w:hint="eastAsia" w:ascii="宋体" w:hAnsi="宋体"/>
          <w:snapToGrid w:val="0"/>
          <w:kern w:val="0"/>
          <w:szCs w:val="21"/>
        </w:rPr>
        <w:t>（选欧美品牌）</w:t>
      </w:r>
    </w:p>
    <w:p>
      <w:pPr>
        <w:pStyle w:val="38"/>
        <w:adjustRightInd w:val="0"/>
        <w:snapToGrid w:val="0"/>
        <w:spacing w:after="0" w:line="400" w:lineRule="exact"/>
        <w:ind w:left="0" w:leftChars="0" w:firstLine="420" w:firstLineChars="200"/>
        <w:rPr>
          <w:rFonts w:ascii="宋体" w:hAnsi="宋体"/>
          <w:snapToGrid w:val="0"/>
          <w:kern w:val="0"/>
          <w:szCs w:val="21"/>
        </w:rPr>
      </w:pPr>
      <w:r>
        <w:rPr>
          <w:rFonts w:hint="eastAsia" w:ascii="宋体" w:hAnsi="宋体"/>
          <w:snapToGrid w:val="0"/>
          <w:kern w:val="0"/>
          <w:szCs w:val="21"/>
        </w:rPr>
        <w:t>标准键盘+鼠标</w:t>
      </w:r>
    </w:p>
    <w:p>
      <w:pPr>
        <w:adjustRightInd w:val="0"/>
        <w:snapToGrid w:val="0"/>
        <w:spacing w:line="400" w:lineRule="exact"/>
        <w:ind w:firstLine="420" w:firstLineChars="200"/>
        <w:rPr>
          <w:rFonts w:ascii="宋体" w:hAnsi="宋体"/>
          <w:snapToGrid w:val="0"/>
          <w:kern w:val="0"/>
          <w:szCs w:val="21"/>
        </w:rPr>
      </w:pPr>
      <w:r>
        <w:rPr>
          <w:rFonts w:ascii="宋体" w:hAnsi="宋体"/>
          <w:snapToGrid w:val="0"/>
          <w:kern w:val="0"/>
          <w:szCs w:val="21"/>
        </w:rPr>
        <w:t>网</w:t>
      </w:r>
      <w:r>
        <w:rPr>
          <w:rFonts w:hint="eastAsia" w:ascii="宋体" w:hAnsi="宋体"/>
          <w:snapToGrid w:val="0"/>
          <w:kern w:val="0"/>
          <w:szCs w:val="21"/>
        </w:rPr>
        <w:t>卡</w:t>
      </w:r>
      <w:r>
        <w:rPr>
          <w:rFonts w:ascii="宋体" w:hAnsi="宋体"/>
          <w:snapToGrid w:val="0"/>
          <w:kern w:val="0"/>
          <w:szCs w:val="21"/>
        </w:rPr>
        <w:t>： 100</w:t>
      </w:r>
      <w:r>
        <w:rPr>
          <w:rFonts w:hint="eastAsia" w:ascii="宋体" w:hAnsi="宋体"/>
          <w:snapToGrid w:val="0"/>
          <w:kern w:val="0"/>
          <w:szCs w:val="21"/>
        </w:rPr>
        <w:t>/1000-</w:t>
      </w:r>
      <w:r>
        <w:rPr>
          <w:rFonts w:ascii="宋体" w:hAnsi="宋体"/>
          <w:snapToGrid w:val="0"/>
          <w:kern w:val="0"/>
          <w:szCs w:val="21"/>
        </w:rPr>
        <w:t>M</w:t>
      </w:r>
      <w:r>
        <w:rPr>
          <w:rFonts w:hint="eastAsia" w:ascii="宋体" w:hAnsi="宋体"/>
          <w:snapToGrid w:val="0"/>
          <w:kern w:val="0"/>
          <w:szCs w:val="21"/>
        </w:rPr>
        <w:t>bps</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3.8  应急电源EPS</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3.9  交换机</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各站具体配置说明：</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渠系闸门现地交换机20台。</w:t>
      </w:r>
    </w:p>
    <w:p>
      <w:pPr>
        <w:adjustRightInd w:val="0"/>
        <w:snapToGrid w:val="0"/>
        <w:spacing w:line="400" w:lineRule="exact"/>
        <w:ind w:firstLine="420" w:firstLineChars="200"/>
        <w:rPr>
          <w:rFonts w:ascii="宋体" w:hAnsi="宋体"/>
          <w:snapToGrid w:val="0"/>
          <w:kern w:val="0"/>
          <w:szCs w:val="21"/>
        </w:rPr>
      </w:pPr>
      <w:r>
        <w:rPr>
          <w:rFonts w:hint="eastAsia" w:ascii="宋体" w:hAnsi="宋体"/>
          <w:bCs/>
          <w:snapToGrid w:val="0"/>
          <w:kern w:val="0"/>
          <w:szCs w:val="21"/>
        </w:rPr>
        <w:t>现地工业交换机采用导轨式安装，</w:t>
      </w:r>
      <w:r>
        <w:rPr>
          <w:rFonts w:hint="eastAsia" w:ascii="宋体" w:hAnsi="宋体"/>
          <w:bCs/>
          <w:snapToGrid w:val="0"/>
          <w:kern w:val="0"/>
          <w:szCs w:val="21"/>
          <w:lang w:val="zh-CN"/>
        </w:rPr>
        <w:t>交换容量不小于8.8Gbps，并支持基于端口和标签的VLAN，</w:t>
      </w:r>
      <w:r>
        <w:rPr>
          <w:rFonts w:hint="eastAsia" w:ascii="宋体" w:hAnsi="宋体"/>
          <w:bCs/>
          <w:snapToGrid w:val="0"/>
          <w:kern w:val="0"/>
          <w:szCs w:val="21"/>
        </w:rPr>
        <w:t>供电方式为冗余双供电，供电范围18～36VDC，必须具备供电，系统，及端口指示灯，且采用导光帽进行静电防护，全密封防尘结构，防护等级达到IP40，平均无故障工作时间（MTBF）大于20万小时，工作温度范围：-40～75度。</w:t>
      </w:r>
    </w:p>
    <w:p>
      <w:pPr>
        <w:adjustRightInd w:val="0"/>
        <w:snapToGrid w:val="0"/>
        <w:spacing w:line="400" w:lineRule="exact"/>
        <w:ind w:firstLine="420" w:firstLineChars="200"/>
        <w:rPr>
          <w:rFonts w:ascii="宋体" w:hAnsi="宋体"/>
          <w:snapToGrid w:val="0"/>
          <w:kern w:val="0"/>
          <w:szCs w:val="21"/>
        </w:rPr>
      </w:pPr>
      <w:r>
        <w:rPr>
          <w:rFonts w:ascii="宋体" w:hAnsi="宋体"/>
          <w:snapToGrid w:val="0"/>
          <w:kern w:val="0"/>
          <w:szCs w:val="21"/>
        </w:rPr>
        <w:t>3.</w:t>
      </w:r>
      <w:r>
        <w:rPr>
          <w:rFonts w:hint="eastAsia" w:ascii="宋体" w:hAnsi="宋体"/>
          <w:snapToGrid w:val="0"/>
          <w:kern w:val="0"/>
          <w:szCs w:val="21"/>
        </w:rPr>
        <w:t>10  工作内容</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1</w:t>
      </w:r>
      <w:r>
        <w:rPr>
          <w:rFonts w:hint="eastAsia" w:ascii="宋体" w:hAnsi="宋体"/>
          <w:snapToGrid w:val="0"/>
          <w:kern w:val="0"/>
          <w:szCs w:val="21"/>
        </w:rPr>
        <w:t>）卖方负责供货范围内设备的设计、制造、试验、包装、运输、车板交货到买方指定地点。</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2</w:t>
      </w:r>
      <w:r>
        <w:rPr>
          <w:rFonts w:hint="eastAsia" w:ascii="宋体" w:hAnsi="宋体"/>
          <w:snapToGrid w:val="0"/>
          <w:kern w:val="0"/>
          <w:szCs w:val="21"/>
        </w:rPr>
        <w:t>）组织和参加设计联络会。</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3</w:t>
      </w:r>
      <w:r>
        <w:rPr>
          <w:rFonts w:hint="eastAsia" w:ascii="宋体" w:hAnsi="宋体"/>
          <w:snapToGrid w:val="0"/>
          <w:kern w:val="0"/>
          <w:szCs w:val="21"/>
        </w:rPr>
        <w:t>）负责制定试验程序，配合性能考核，指导安装、调试、质量监督，参加现场开箱交接验收和试运行。</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4</w:t>
      </w:r>
      <w:r>
        <w:rPr>
          <w:rFonts w:hint="eastAsia" w:ascii="宋体" w:hAnsi="宋体"/>
          <w:snapToGrid w:val="0"/>
          <w:kern w:val="0"/>
          <w:szCs w:val="21"/>
        </w:rPr>
        <w:t>）任何元件和装置，如果在招标文件中未专门提到，但对于构成一个完整的、性能良好的相关通信设备为必不可少的，或者对于水电站、变电站安全、稳定运行或对于改善水电站、变电站运行品质是必要的，或施工、安装、调试和运行过程中易损坏的零部件（不限于此），卖方应予以提供，并列出明细表和单价，其费用包括在相应的设备总价中。</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5</w:t>
      </w:r>
      <w:r>
        <w:rPr>
          <w:rFonts w:hint="eastAsia" w:ascii="宋体" w:hAnsi="宋体"/>
          <w:snapToGrid w:val="0"/>
          <w:kern w:val="0"/>
          <w:szCs w:val="21"/>
        </w:rPr>
        <w:t>）卖方应按规范有关条款的要求提交图纸、说明书、标准和规范、提供现场安装、试验的指导监督和技术培训；完成与水电站、变电站设计有关的设计联络；接受买方代表参加工厂检验、见证、目睹和验收试验；对买方人员的培训服务、与其他承包人之间的协调。</w:t>
      </w:r>
    </w:p>
    <w:p>
      <w:pPr>
        <w:adjustRightInd w:val="0"/>
        <w:snapToGrid w:val="0"/>
        <w:spacing w:line="400" w:lineRule="exact"/>
        <w:ind w:firstLine="420" w:firstLineChars="200"/>
        <w:rPr>
          <w:rFonts w:ascii="宋体" w:hAnsi="宋体"/>
          <w:snapToGrid w:val="0"/>
          <w:kern w:val="0"/>
          <w:szCs w:val="21"/>
        </w:rPr>
      </w:pPr>
      <w:bookmarkStart w:id="197" w:name="_Toc421892350"/>
      <w:r>
        <w:rPr>
          <w:rFonts w:hint="eastAsia" w:ascii="宋体" w:hAnsi="宋体"/>
          <w:snapToGrid w:val="0"/>
          <w:kern w:val="0"/>
          <w:szCs w:val="21"/>
        </w:rPr>
        <w:t>3.11  备品备件与专用工具</w:t>
      </w:r>
      <w:bookmarkEnd w:id="197"/>
    </w:p>
    <w:p>
      <w:pPr>
        <w:adjustRightInd w:val="0"/>
        <w:snapToGrid w:val="0"/>
        <w:spacing w:line="400" w:lineRule="exact"/>
        <w:ind w:firstLine="420" w:firstLineChars="200"/>
        <w:rPr>
          <w:rFonts w:hint="eastAsia" w:ascii="宋体" w:hAnsi="宋体"/>
          <w:snapToGrid w:val="0"/>
          <w:kern w:val="0"/>
          <w:szCs w:val="21"/>
        </w:rPr>
      </w:pPr>
      <w:bookmarkStart w:id="198" w:name="_Toc31791936"/>
      <w:r>
        <w:rPr>
          <w:rFonts w:hint="eastAsia" w:ascii="宋体" w:hAnsi="宋体"/>
          <w:snapToGrid w:val="0"/>
          <w:kern w:val="0"/>
          <w:szCs w:val="21"/>
        </w:rPr>
        <w:t>3.11.1  备品备件</w:t>
      </w:r>
      <w:bookmarkEnd w:id="198"/>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1</w:t>
      </w:r>
      <w:r>
        <w:rPr>
          <w:rFonts w:hint="eastAsia" w:ascii="宋体" w:hAnsi="宋体"/>
          <w:snapToGrid w:val="0"/>
          <w:kern w:val="0"/>
          <w:szCs w:val="21"/>
        </w:rPr>
        <w:t>）卖方提供系统长期安全运行所需的备品备件。在安装、调试和试运行阶段所需的各种消耗品应由卖方提供。</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2</w:t>
      </w:r>
      <w:r>
        <w:rPr>
          <w:rFonts w:hint="eastAsia" w:ascii="宋体" w:hAnsi="宋体"/>
          <w:snapToGrid w:val="0"/>
          <w:kern w:val="0"/>
          <w:szCs w:val="21"/>
        </w:rPr>
        <w:t>）所有备品、备件应具有良好的互换性，采用与原部件相同的材料工艺和具有相同的质量。备品备件应单独包装和保护完好，以利存放，并应在其包装外部清晰地加以标志。</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3</w:t>
      </w:r>
      <w:r>
        <w:rPr>
          <w:rFonts w:hint="eastAsia" w:ascii="宋体" w:hAnsi="宋体"/>
          <w:snapToGrid w:val="0"/>
          <w:kern w:val="0"/>
          <w:szCs w:val="21"/>
        </w:rPr>
        <w:t>）卖方认为必要的备品备件应单独列表进行逐项报价（含单价），以供买方选择采购。</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4</w:t>
      </w:r>
      <w:r>
        <w:rPr>
          <w:rFonts w:hint="eastAsia" w:ascii="宋体" w:hAnsi="宋体"/>
          <w:snapToGrid w:val="0"/>
          <w:kern w:val="0"/>
          <w:szCs w:val="21"/>
        </w:rPr>
        <w:t>）所有备品备件应随合同首批设备一起供货。</w:t>
      </w:r>
    </w:p>
    <w:p>
      <w:pPr>
        <w:adjustRightInd w:val="0"/>
        <w:snapToGrid w:val="0"/>
        <w:spacing w:line="400" w:lineRule="exact"/>
        <w:ind w:firstLine="420" w:firstLineChars="200"/>
        <w:rPr>
          <w:rFonts w:hint="eastAsia" w:ascii="宋体" w:hAnsi="宋体"/>
          <w:snapToGrid w:val="0"/>
          <w:kern w:val="0"/>
          <w:szCs w:val="21"/>
        </w:rPr>
      </w:pPr>
      <w:bookmarkStart w:id="199" w:name="_Toc31791937"/>
      <w:r>
        <w:rPr>
          <w:rFonts w:hint="eastAsia" w:ascii="宋体" w:hAnsi="宋体"/>
          <w:snapToGrid w:val="0"/>
          <w:kern w:val="0"/>
          <w:szCs w:val="21"/>
        </w:rPr>
        <w:t>3.11.2  专用工器具</w:t>
      </w:r>
      <w:bookmarkEnd w:id="199"/>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1</w:t>
      </w:r>
      <w:r>
        <w:rPr>
          <w:rFonts w:hint="eastAsia" w:ascii="宋体" w:hAnsi="宋体"/>
          <w:snapToGrid w:val="0"/>
          <w:kern w:val="0"/>
          <w:szCs w:val="21"/>
        </w:rPr>
        <w:t>）卖方应提供系统长期安全稳定运行所需的正常维护和保养所需的维修工具和试验设备。在安装、调试和试运行阶段所需的各种工具和消耗品应由卖方提供。</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2</w:t>
      </w:r>
      <w:r>
        <w:rPr>
          <w:rFonts w:hint="eastAsia" w:ascii="宋体" w:hAnsi="宋体"/>
          <w:snapToGrid w:val="0"/>
          <w:kern w:val="0"/>
          <w:szCs w:val="21"/>
        </w:rPr>
        <w:t>）卖方认为必要增加的专用工具及特殊材料应单独列表</w:t>
      </w:r>
      <w:r>
        <w:rPr>
          <w:rFonts w:ascii="宋体" w:hAnsi="宋体"/>
          <w:snapToGrid w:val="0"/>
          <w:kern w:val="0"/>
          <w:szCs w:val="21"/>
        </w:rPr>
        <w:t>(</w:t>
      </w:r>
      <w:r>
        <w:rPr>
          <w:rFonts w:hint="eastAsia" w:ascii="宋体" w:hAnsi="宋体"/>
          <w:snapToGrid w:val="0"/>
          <w:kern w:val="0"/>
          <w:szCs w:val="21"/>
        </w:rPr>
        <w:t>清单注明名称、型号、规格数量用途及单价），进行逐项报价（含单价），以供买方选择采购。</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3</w:t>
      </w:r>
      <w:r>
        <w:rPr>
          <w:rFonts w:hint="eastAsia" w:ascii="宋体" w:hAnsi="宋体"/>
          <w:snapToGrid w:val="0"/>
          <w:kern w:val="0"/>
          <w:szCs w:val="21"/>
        </w:rPr>
        <w:t>）所有专用工器具应随合同首批设备一齐供货。</w:t>
      </w:r>
    </w:p>
    <w:p>
      <w:pPr>
        <w:adjustRightInd w:val="0"/>
        <w:snapToGrid w:val="0"/>
        <w:spacing w:line="400" w:lineRule="exact"/>
        <w:ind w:firstLine="420" w:firstLineChars="200"/>
        <w:rPr>
          <w:rFonts w:ascii="宋体" w:hAnsi="宋体"/>
          <w:snapToGrid w:val="0"/>
          <w:kern w:val="0"/>
          <w:szCs w:val="21"/>
        </w:rPr>
      </w:pPr>
      <w:bookmarkStart w:id="200" w:name="_Toc421892351"/>
      <w:r>
        <w:rPr>
          <w:rFonts w:hint="eastAsia" w:ascii="宋体" w:hAnsi="宋体"/>
          <w:snapToGrid w:val="0"/>
          <w:kern w:val="0"/>
          <w:szCs w:val="21"/>
        </w:rPr>
        <w:t>3</w:t>
      </w:r>
      <w:r>
        <w:rPr>
          <w:rFonts w:ascii="宋体" w:hAnsi="宋体"/>
          <w:snapToGrid w:val="0"/>
          <w:kern w:val="0"/>
          <w:szCs w:val="21"/>
        </w:rPr>
        <w:t>.</w:t>
      </w:r>
      <w:r>
        <w:rPr>
          <w:rFonts w:hint="eastAsia" w:ascii="宋体" w:hAnsi="宋体"/>
          <w:snapToGrid w:val="0"/>
          <w:kern w:val="0"/>
          <w:szCs w:val="21"/>
        </w:rPr>
        <w:t>12  规范、标准</w:t>
      </w:r>
      <w:bookmarkEnd w:id="200"/>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除另有说明外，卖方提供的所有设备、器件都应符合下列最新版本的标准和规程：</w:t>
      </w:r>
    </w:p>
    <w:p>
      <w:pPr>
        <w:adjustRightInd w:val="0"/>
        <w:snapToGrid w:val="0"/>
        <w:spacing w:line="400" w:lineRule="exact"/>
        <w:ind w:firstLine="420" w:firstLineChars="200"/>
        <w:rPr>
          <w:rFonts w:ascii="宋体" w:hAnsi="宋体"/>
          <w:snapToGrid w:val="0"/>
          <w:kern w:val="0"/>
          <w:szCs w:val="21"/>
        </w:rPr>
      </w:pPr>
      <w:r>
        <w:rPr>
          <w:rFonts w:ascii="宋体" w:hAnsi="宋体"/>
          <w:snapToGrid w:val="0"/>
          <w:kern w:val="0"/>
          <w:szCs w:val="21"/>
        </w:rPr>
        <w:t>IEC</w:t>
      </w:r>
      <w:r>
        <w:rPr>
          <w:rFonts w:hint="eastAsia" w:ascii="宋体" w:hAnsi="宋体"/>
          <w:snapToGrid w:val="0"/>
          <w:kern w:val="0"/>
          <w:szCs w:val="21"/>
        </w:rPr>
        <w:t xml:space="preserve">          国际电工技术委员会标准</w:t>
      </w:r>
    </w:p>
    <w:p>
      <w:pPr>
        <w:adjustRightInd w:val="0"/>
        <w:snapToGrid w:val="0"/>
        <w:spacing w:line="400" w:lineRule="exact"/>
        <w:ind w:firstLine="420" w:firstLineChars="200"/>
        <w:rPr>
          <w:rFonts w:ascii="宋体" w:hAnsi="宋体"/>
          <w:snapToGrid w:val="0"/>
          <w:kern w:val="0"/>
          <w:szCs w:val="21"/>
        </w:rPr>
      </w:pPr>
      <w:r>
        <w:rPr>
          <w:rFonts w:ascii="宋体" w:hAnsi="宋体"/>
          <w:snapToGrid w:val="0"/>
          <w:kern w:val="0"/>
          <w:szCs w:val="21"/>
        </w:rPr>
        <w:t>ISO</w:t>
      </w:r>
      <w:r>
        <w:rPr>
          <w:rFonts w:hint="eastAsia" w:ascii="宋体" w:hAnsi="宋体"/>
          <w:snapToGrid w:val="0"/>
          <w:kern w:val="0"/>
          <w:szCs w:val="21"/>
        </w:rPr>
        <w:t xml:space="preserve">          国际标准化协会标准</w:t>
      </w:r>
    </w:p>
    <w:p>
      <w:pPr>
        <w:adjustRightInd w:val="0"/>
        <w:snapToGrid w:val="0"/>
        <w:spacing w:line="400" w:lineRule="exact"/>
        <w:ind w:firstLine="420" w:firstLineChars="200"/>
        <w:rPr>
          <w:rFonts w:ascii="宋体" w:hAnsi="宋体"/>
          <w:snapToGrid w:val="0"/>
          <w:kern w:val="0"/>
          <w:szCs w:val="21"/>
        </w:rPr>
      </w:pPr>
      <w:r>
        <w:rPr>
          <w:rFonts w:ascii="宋体" w:hAnsi="宋体"/>
          <w:snapToGrid w:val="0"/>
          <w:kern w:val="0"/>
          <w:szCs w:val="21"/>
        </w:rPr>
        <w:t>IEEE</w:t>
      </w:r>
      <w:r>
        <w:rPr>
          <w:rFonts w:hint="eastAsia" w:ascii="宋体" w:hAnsi="宋体"/>
          <w:snapToGrid w:val="0"/>
          <w:kern w:val="0"/>
          <w:szCs w:val="21"/>
        </w:rPr>
        <w:t xml:space="preserve">         电气和电子工程师协会标准</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ITU          国际电信联盟标准</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GB           中华人民共和国国家标准</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DL           中国电力行业标准</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SL           中国水利行业</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SD或SDJ     原国家水利电力部标准</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YD           中国电信行业标准</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当各标准不一致时，应按较高标准条款执行，并经买方认可。</w:t>
      </w:r>
    </w:p>
    <w:p>
      <w:pPr>
        <w:adjustRightInd w:val="0"/>
        <w:snapToGrid w:val="0"/>
        <w:spacing w:line="400" w:lineRule="exact"/>
        <w:ind w:firstLine="420" w:firstLineChars="200"/>
        <w:rPr>
          <w:rFonts w:ascii="宋体" w:hAnsi="宋体"/>
          <w:snapToGrid w:val="0"/>
          <w:kern w:val="0"/>
          <w:szCs w:val="21"/>
        </w:rPr>
      </w:pPr>
      <w:bookmarkStart w:id="201" w:name="_Toc421892352"/>
      <w:r>
        <w:rPr>
          <w:rFonts w:hint="eastAsia" w:ascii="宋体" w:hAnsi="宋体"/>
          <w:snapToGrid w:val="0"/>
          <w:kern w:val="0"/>
          <w:szCs w:val="21"/>
        </w:rPr>
        <w:t>3</w:t>
      </w:r>
      <w:r>
        <w:rPr>
          <w:rFonts w:ascii="宋体" w:hAnsi="宋体"/>
          <w:snapToGrid w:val="0"/>
          <w:kern w:val="0"/>
          <w:szCs w:val="21"/>
        </w:rPr>
        <w:t>.</w:t>
      </w:r>
      <w:r>
        <w:rPr>
          <w:rFonts w:hint="eastAsia" w:ascii="宋体" w:hAnsi="宋体"/>
          <w:snapToGrid w:val="0"/>
          <w:kern w:val="0"/>
          <w:szCs w:val="21"/>
        </w:rPr>
        <w:t>13  质量保证措施</w:t>
      </w:r>
      <w:bookmarkEnd w:id="201"/>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1</w:t>
      </w:r>
      <w:r>
        <w:rPr>
          <w:rFonts w:hint="eastAsia" w:ascii="宋体" w:hAnsi="宋体"/>
          <w:snapToGrid w:val="0"/>
          <w:kern w:val="0"/>
          <w:szCs w:val="21"/>
        </w:rPr>
        <w:t>）卖方应按要求完成全部材料、机械和电气的组件尺寸测量和试验。质量保证措施包括材料试验、无损伤检测、试验、目睹试验及现场安装试验等。</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2</w:t>
      </w:r>
      <w:r>
        <w:rPr>
          <w:rFonts w:hint="eastAsia" w:ascii="宋体" w:hAnsi="宋体"/>
          <w:snapToGrid w:val="0"/>
          <w:kern w:val="0"/>
          <w:szCs w:val="21"/>
        </w:rPr>
        <w:t>）卖方应提供其质量体系文件或质量手册供买方审查。</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3</w:t>
      </w:r>
      <w:r>
        <w:rPr>
          <w:rFonts w:hint="eastAsia" w:ascii="宋体" w:hAnsi="宋体"/>
          <w:snapToGrid w:val="0"/>
          <w:kern w:val="0"/>
          <w:szCs w:val="21"/>
        </w:rPr>
        <w:t>）质量保证应按照</w:t>
      </w:r>
      <w:r>
        <w:rPr>
          <w:rFonts w:ascii="宋体" w:hAnsi="宋体"/>
          <w:snapToGrid w:val="0"/>
          <w:kern w:val="0"/>
          <w:szCs w:val="21"/>
        </w:rPr>
        <w:t xml:space="preserve">ISO 9000 </w:t>
      </w:r>
      <w:r>
        <w:rPr>
          <w:rFonts w:hint="eastAsia" w:ascii="宋体" w:hAnsi="宋体"/>
          <w:snapToGrid w:val="0"/>
          <w:kern w:val="0"/>
          <w:szCs w:val="21"/>
        </w:rPr>
        <w:t>质量管理体系标准（</w:t>
      </w:r>
      <w:r>
        <w:rPr>
          <w:rFonts w:ascii="宋体" w:hAnsi="宋体"/>
          <w:snapToGrid w:val="0"/>
          <w:kern w:val="0"/>
          <w:szCs w:val="21"/>
        </w:rPr>
        <w:t>ISO 9001</w:t>
      </w:r>
      <w:r>
        <w:rPr>
          <w:rFonts w:hint="eastAsia" w:ascii="宋体" w:hAnsi="宋体"/>
          <w:snapToGrid w:val="0"/>
          <w:kern w:val="0"/>
          <w:szCs w:val="21"/>
        </w:rPr>
        <w:t>，</w:t>
      </w:r>
      <w:r>
        <w:rPr>
          <w:rFonts w:ascii="宋体" w:hAnsi="宋体"/>
          <w:snapToGrid w:val="0"/>
          <w:kern w:val="0"/>
          <w:szCs w:val="21"/>
        </w:rPr>
        <w:t>ISO 9002</w:t>
      </w:r>
      <w:r>
        <w:rPr>
          <w:rFonts w:hint="eastAsia" w:ascii="宋体" w:hAnsi="宋体"/>
          <w:snapToGrid w:val="0"/>
          <w:kern w:val="0"/>
          <w:szCs w:val="21"/>
        </w:rPr>
        <w:t>，</w:t>
      </w:r>
      <w:r>
        <w:rPr>
          <w:rFonts w:ascii="宋体" w:hAnsi="宋体"/>
          <w:snapToGrid w:val="0"/>
          <w:kern w:val="0"/>
          <w:szCs w:val="21"/>
        </w:rPr>
        <w:t>ISO 9003</w:t>
      </w:r>
      <w:r>
        <w:rPr>
          <w:rFonts w:hint="eastAsia" w:ascii="宋体" w:hAnsi="宋体"/>
          <w:snapToGrid w:val="0"/>
          <w:kern w:val="0"/>
          <w:szCs w:val="21"/>
        </w:rPr>
        <w:t>，</w:t>
      </w:r>
      <w:r>
        <w:rPr>
          <w:rFonts w:ascii="宋体" w:hAnsi="宋体"/>
          <w:snapToGrid w:val="0"/>
          <w:kern w:val="0"/>
          <w:szCs w:val="21"/>
        </w:rPr>
        <w:t>ISO 9004</w:t>
      </w:r>
      <w:r>
        <w:rPr>
          <w:rFonts w:hint="eastAsia" w:ascii="宋体" w:hAnsi="宋体"/>
          <w:snapToGrid w:val="0"/>
          <w:kern w:val="0"/>
          <w:szCs w:val="21"/>
        </w:rPr>
        <w:t>等）进行。</w:t>
      </w:r>
    </w:p>
    <w:p>
      <w:pPr>
        <w:adjustRightInd w:val="0"/>
        <w:snapToGrid w:val="0"/>
        <w:spacing w:line="400" w:lineRule="exact"/>
        <w:ind w:firstLine="420" w:firstLineChars="200"/>
        <w:rPr>
          <w:rFonts w:ascii="宋体" w:hAnsi="宋体"/>
          <w:snapToGrid w:val="0"/>
          <w:kern w:val="0"/>
          <w:szCs w:val="21"/>
        </w:rPr>
      </w:pPr>
      <w:bookmarkStart w:id="202" w:name="_Toc421892353"/>
      <w:r>
        <w:rPr>
          <w:rFonts w:hint="eastAsia" w:ascii="宋体" w:hAnsi="宋体"/>
          <w:snapToGrid w:val="0"/>
          <w:kern w:val="0"/>
          <w:szCs w:val="21"/>
        </w:rPr>
        <w:t>3</w:t>
      </w:r>
      <w:r>
        <w:rPr>
          <w:rFonts w:ascii="宋体" w:hAnsi="宋体"/>
          <w:snapToGrid w:val="0"/>
          <w:kern w:val="0"/>
          <w:szCs w:val="21"/>
        </w:rPr>
        <w:t>.</w:t>
      </w:r>
      <w:r>
        <w:rPr>
          <w:rFonts w:hint="eastAsia" w:ascii="宋体" w:hAnsi="宋体"/>
          <w:snapToGrid w:val="0"/>
          <w:kern w:val="0"/>
          <w:szCs w:val="21"/>
        </w:rPr>
        <w:t>14  铭牌和标识</w:t>
      </w:r>
      <w:bookmarkEnd w:id="202"/>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1</w:t>
      </w:r>
      <w:r>
        <w:rPr>
          <w:rFonts w:hint="eastAsia" w:ascii="宋体" w:hAnsi="宋体"/>
          <w:snapToGrid w:val="0"/>
          <w:kern w:val="0"/>
          <w:szCs w:val="21"/>
        </w:rPr>
        <w:t>）本系统及附属设备（包括分包商提供的设备）均应装有铭牌。铭牌用不受气候影响的材料制成，并安装在明显位置。铭牌不能褪色，并且要适合于热带干旱、半干旱气候。</w:t>
      </w:r>
    </w:p>
    <w:p>
      <w:pPr>
        <w:adjustRightInd w:val="0"/>
        <w:snapToGrid w:val="0"/>
        <w:spacing w:line="400" w:lineRule="exact"/>
        <w:ind w:firstLine="420" w:firstLineChars="200"/>
        <w:rPr>
          <w:rFonts w:ascii="宋体" w:hAnsi="宋体"/>
          <w:snapToGrid w:val="0"/>
          <w:kern w:val="0"/>
          <w:szCs w:val="21"/>
          <w:highlight w:val="yellow"/>
        </w:rPr>
      </w:pPr>
      <w:r>
        <w:rPr>
          <w:rFonts w:hint="eastAsia" w:ascii="宋体" w:hAnsi="宋体"/>
          <w:snapToGrid w:val="0"/>
          <w:kern w:val="0"/>
          <w:szCs w:val="21"/>
        </w:rPr>
        <w:t>（</w:t>
      </w:r>
      <w:r>
        <w:rPr>
          <w:rFonts w:ascii="宋体" w:hAnsi="宋体"/>
          <w:snapToGrid w:val="0"/>
          <w:kern w:val="0"/>
          <w:szCs w:val="21"/>
        </w:rPr>
        <w:t>2</w:t>
      </w:r>
      <w:r>
        <w:rPr>
          <w:rFonts w:hint="eastAsia" w:ascii="宋体" w:hAnsi="宋体"/>
          <w:snapToGrid w:val="0"/>
          <w:kern w:val="0"/>
          <w:szCs w:val="21"/>
        </w:rPr>
        <w:t>）铭牌上所有项目应采用中文和葡文对照，清晰、耐久地书写在铭牌上。</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3</w:t>
      </w:r>
      <w:r>
        <w:rPr>
          <w:rFonts w:hint="eastAsia" w:ascii="宋体" w:hAnsi="宋体"/>
          <w:snapToGrid w:val="0"/>
          <w:kern w:val="0"/>
          <w:szCs w:val="21"/>
        </w:rPr>
        <w:t>）铭牌上应表示下述各项内容：</w:t>
      </w:r>
    </w:p>
    <w:p>
      <w:pPr>
        <w:adjustRightInd w:val="0"/>
        <w:snapToGrid w:val="0"/>
        <w:spacing w:line="400" w:lineRule="exact"/>
        <w:ind w:firstLine="420" w:firstLineChars="200"/>
        <w:rPr>
          <w:rFonts w:ascii="宋体" w:hAnsi="宋体"/>
          <w:snapToGrid w:val="0"/>
          <w:kern w:val="0"/>
          <w:szCs w:val="21"/>
        </w:rPr>
      </w:pPr>
      <w:r>
        <w:rPr>
          <w:rFonts w:ascii="宋体" w:hAnsi="宋体"/>
          <w:snapToGrid w:val="0"/>
          <w:kern w:val="0"/>
          <w:szCs w:val="21"/>
        </w:rPr>
        <w:t>1</w:t>
      </w:r>
      <w:r>
        <w:rPr>
          <w:rFonts w:hint="eastAsia" w:ascii="宋体" w:hAnsi="宋体"/>
          <w:snapToGrid w:val="0"/>
          <w:kern w:val="0"/>
          <w:szCs w:val="21"/>
        </w:rPr>
        <w:t>）设备名称、型号、产品代号；</w:t>
      </w:r>
    </w:p>
    <w:p>
      <w:pPr>
        <w:adjustRightInd w:val="0"/>
        <w:snapToGrid w:val="0"/>
        <w:spacing w:line="400" w:lineRule="exact"/>
        <w:ind w:firstLine="420" w:firstLineChars="200"/>
        <w:rPr>
          <w:rFonts w:ascii="宋体" w:hAnsi="宋体"/>
          <w:snapToGrid w:val="0"/>
          <w:kern w:val="0"/>
          <w:szCs w:val="21"/>
        </w:rPr>
      </w:pPr>
      <w:r>
        <w:rPr>
          <w:rFonts w:ascii="宋体" w:hAnsi="宋体"/>
          <w:snapToGrid w:val="0"/>
          <w:kern w:val="0"/>
          <w:szCs w:val="21"/>
        </w:rPr>
        <w:t>2</w:t>
      </w:r>
      <w:r>
        <w:rPr>
          <w:rFonts w:hint="eastAsia" w:ascii="宋体" w:hAnsi="宋体"/>
          <w:snapToGrid w:val="0"/>
          <w:kern w:val="0"/>
          <w:szCs w:val="21"/>
        </w:rPr>
        <w:t>）标准代号；</w:t>
      </w:r>
    </w:p>
    <w:p>
      <w:pPr>
        <w:adjustRightInd w:val="0"/>
        <w:snapToGrid w:val="0"/>
        <w:spacing w:line="400" w:lineRule="exact"/>
        <w:ind w:firstLine="420" w:firstLineChars="200"/>
        <w:rPr>
          <w:rFonts w:ascii="宋体" w:hAnsi="宋体"/>
          <w:snapToGrid w:val="0"/>
          <w:kern w:val="0"/>
          <w:szCs w:val="21"/>
        </w:rPr>
      </w:pPr>
      <w:r>
        <w:rPr>
          <w:rFonts w:ascii="宋体" w:hAnsi="宋体"/>
          <w:snapToGrid w:val="0"/>
          <w:kern w:val="0"/>
          <w:szCs w:val="21"/>
        </w:rPr>
        <w:t>3</w:t>
      </w:r>
      <w:r>
        <w:rPr>
          <w:rFonts w:hint="eastAsia" w:ascii="宋体" w:hAnsi="宋体"/>
          <w:snapToGrid w:val="0"/>
          <w:kern w:val="0"/>
          <w:szCs w:val="21"/>
        </w:rPr>
        <w:t>）制造厂名、地址；</w:t>
      </w:r>
    </w:p>
    <w:p>
      <w:pPr>
        <w:adjustRightInd w:val="0"/>
        <w:snapToGrid w:val="0"/>
        <w:spacing w:line="400" w:lineRule="exact"/>
        <w:ind w:firstLine="420" w:firstLineChars="200"/>
        <w:rPr>
          <w:rFonts w:ascii="宋体" w:hAnsi="宋体"/>
          <w:snapToGrid w:val="0"/>
          <w:kern w:val="0"/>
          <w:szCs w:val="21"/>
        </w:rPr>
      </w:pPr>
      <w:r>
        <w:rPr>
          <w:rFonts w:ascii="宋体" w:hAnsi="宋体"/>
          <w:snapToGrid w:val="0"/>
          <w:kern w:val="0"/>
          <w:szCs w:val="21"/>
        </w:rPr>
        <w:t>4</w:t>
      </w:r>
      <w:r>
        <w:rPr>
          <w:rFonts w:hint="eastAsia" w:ascii="宋体" w:hAnsi="宋体"/>
          <w:snapToGrid w:val="0"/>
          <w:kern w:val="0"/>
          <w:szCs w:val="21"/>
        </w:rPr>
        <w:t>）出厂序号；</w:t>
      </w:r>
    </w:p>
    <w:p>
      <w:pPr>
        <w:adjustRightInd w:val="0"/>
        <w:snapToGrid w:val="0"/>
        <w:spacing w:line="400" w:lineRule="exact"/>
        <w:ind w:firstLine="420" w:firstLineChars="200"/>
        <w:rPr>
          <w:rFonts w:ascii="宋体" w:hAnsi="宋体"/>
          <w:snapToGrid w:val="0"/>
          <w:kern w:val="0"/>
          <w:szCs w:val="21"/>
        </w:rPr>
      </w:pPr>
      <w:r>
        <w:rPr>
          <w:rFonts w:ascii="宋体" w:hAnsi="宋体"/>
          <w:snapToGrid w:val="0"/>
          <w:kern w:val="0"/>
          <w:szCs w:val="21"/>
        </w:rPr>
        <w:t>5</w:t>
      </w:r>
      <w:r>
        <w:rPr>
          <w:rFonts w:hint="eastAsia" w:ascii="宋体" w:hAnsi="宋体"/>
          <w:snapToGrid w:val="0"/>
          <w:kern w:val="0"/>
          <w:szCs w:val="21"/>
        </w:rPr>
        <w:t>）制造年月；</w:t>
      </w:r>
    </w:p>
    <w:p>
      <w:pPr>
        <w:adjustRightInd w:val="0"/>
        <w:snapToGrid w:val="0"/>
        <w:spacing w:line="400" w:lineRule="exact"/>
        <w:ind w:firstLine="420" w:firstLineChars="200"/>
        <w:rPr>
          <w:rFonts w:ascii="宋体" w:hAnsi="宋体"/>
          <w:snapToGrid w:val="0"/>
          <w:kern w:val="0"/>
          <w:szCs w:val="21"/>
        </w:rPr>
      </w:pPr>
      <w:r>
        <w:rPr>
          <w:rFonts w:ascii="宋体" w:hAnsi="宋体"/>
          <w:snapToGrid w:val="0"/>
          <w:kern w:val="0"/>
          <w:szCs w:val="21"/>
        </w:rPr>
        <w:t>6</w:t>
      </w:r>
      <w:r>
        <w:rPr>
          <w:rFonts w:hint="eastAsia" w:ascii="宋体" w:hAnsi="宋体"/>
          <w:snapToGrid w:val="0"/>
          <w:kern w:val="0"/>
          <w:szCs w:val="21"/>
        </w:rPr>
        <w:t>）使用条件（户内使用、海拔高程等）；</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7）总重量（</w:t>
      </w:r>
      <w:r>
        <w:rPr>
          <w:rFonts w:ascii="宋体" w:hAnsi="宋体"/>
          <w:snapToGrid w:val="0"/>
          <w:kern w:val="0"/>
          <w:szCs w:val="21"/>
        </w:rPr>
        <w:t>kg</w:t>
      </w:r>
      <w:r>
        <w:rPr>
          <w:rFonts w:hint="eastAsia" w:ascii="宋体" w:hAnsi="宋体"/>
          <w:snapToGrid w:val="0"/>
          <w:kern w:val="0"/>
          <w:szCs w:val="21"/>
        </w:rPr>
        <w:t>或</w:t>
      </w:r>
      <w:r>
        <w:rPr>
          <w:rFonts w:ascii="宋体" w:hAnsi="宋体"/>
          <w:snapToGrid w:val="0"/>
          <w:kern w:val="0"/>
          <w:szCs w:val="21"/>
        </w:rPr>
        <w:t>t</w:t>
      </w:r>
      <w:r>
        <w:rPr>
          <w:rFonts w:hint="eastAsia" w:ascii="宋体" w:hAnsi="宋体"/>
          <w:snapToGrid w:val="0"/>
          <w:kern w:val="0"/>
          <w:szCs w:val="21"/>
        </w:rPr>
        <w:t>）；</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8）尺寸（</w:t>
      </w:r>
      <w:r>
        <w:rPr>
          <w:rFonts w:ascii="宋体" w:hAnsi="宋体"/>
          <w:snapToGrid w:val="0"/>
          <w:kern w:val="0"/>
          <w:szCs w:val="21"/>
        </w:rPr>
        <w:t>mm</w:t>
      </w:r>
      <w:r>
        <w:rPr>
          <w:rFonts w:hint="eastAsia" w:ascii="宋体" w:hAnsi="宋体"/>
          <w:snapToGrid w:val="0"/>
          <w:kern w:val="0"/>
          <w:szCs w:val="21"/>
        </w:rPr>
        <w:t>）；</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9）特殊说明事项。</w:t>
      </w:r>
    </w:p>
    <w:p>
      <w:pPr>
        <w:adjustRightInd w:val="0"/>
        <w:snapToGrid w:val="0"/>
        <w:spacing w:line="400" w:lineRule="exact"/>
        <w:ind w:firstLine="420" w:firstLineChars="200"/>
        <w:rPr>
          <w:rFonts w:ascii="宋体" w:hAnsi="宋体"/>
          <w:snapToGrid w:val="0"/>
          <w:kern w:val="0"/>
          <w:szCs w:val="21"/>
        </w:rPr>
      </w:pPr>
      <w:bookmarkStart w:id="203" w:name="_Toc421892354"/>
      <w:r>
        <w:rPr>
          <w:rFonts w:hint="eastAsia" w:ascii="宋体" w:hAnsi="宋体"/>
          <w:snapToGrid w:val="0"/>
          <w:kern w:val="0"/>
          <w:szCs w:val="21"/>
        </w:rPr>
        <w:t>3</w:t>
      </w:r>
      <w:r>
        <w:rPr>
          <w:rFonts w:ascii="宋体" w:hAnsi="宋体"/>
          <w:snapToGrid w:val="0"/>
          <w:kern w:val="0"/>
          <w:szCs w:val="21"/>
        </w:rPr>
        <w:t>.</w:t>
      </w:r>
      <w:r>
        <w:rPr>
          <w:rFonts w:hint="eastAsia" w:ascii="宋体" w:hAnsi="宋体"/>
          <w:snapToGrid w:val="0"/>
          <w:kern w:val="0"/>
          <w:szCs w:val="21"/>
        </w:rPr>
        <w:t>15  包装、标识和运输</w:t>
      </w:r>
      <w:bookmarkEnd w:id="203"/>
    </w:p>
    <w:p>
      <w:pPr>
        <w:pStyle w:val="34"/>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设备包装与标志应符合主合同的有关规定。在满足主合同规定的同时，还应满足《产品包装运输管理条件》和《机电产品包装通用技术条件》（</w:t>
      </w:r>
      <w:r>
        <w:rPr>
          <w:rFonts w:ascii="宋体" w:hAnsi="宋体"/>
          <w:snapToGrid w:val="0"/>
          <w:kern w:val="0"/>
          <w:szCs w:val="21"/>
        </w:rPr>
        <w:t>GB/T13384</w:t>
      </w:r>
      <w:r>
        <w:rPr>
          <w:rFonts w:hint="eastAsia" w:ascii="宋体" w:hAnsi="宋体"/>
          <w:snapToGrid w:val="0"/>
          <w:kern w:val="0"/>
          <w:szCs w:val="21"/>
        </w:rPr>
        <w:t>）的规定及以下要求：</w:t>
      </w:r>
    </w:p>
    <w:p>
      <w:pPr>
        <w:pStyle w:val="34"/>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1</w:t>
      </w:r>
      <w:r>
        <w:rPr>
          <w:rFonts w:hint="eastAsia" w:ascii="宋体" w:hAnsi="宋体"/>
          <w:snapToGrid w:val="0"/>
          <w:kern w:val="0"/>
          <w:szCs w:val="21"/>
        </w:rPr>
        <w:t>）卖方应根据合同设备的不同形状和特点，采用防潮、防雨、防锈、防震、防腐的坚固包装。该包装应适应多次搬运和内陆运输，以保证合同设备安全无损地抵达安装地点。对于为保证精确装配而需具备明亮洁净加工面的合同设备，其加工面应采用品质优良、坚固耐久的保护层（不得用油漆）以防止在安装前发生锈蚀。</w:t>
      </w:r>
    </w:p>
    <w:p>
      <w:pPr>
        <w:pStyle w:val="34"/>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2</w:t>
      </w:r>
      <w:r>
        <w:rPr>
          <w:rFonts w:hint="eastAsia" w:ascii="宋体" w:hAnsi="宋体"/>
          <w:snapToGrid w:val="0"/>
          <w:kern w:val="0"/>
          <w:szCs w:val="21"/>
        </w:rPr>
        <w:t>）卖方应对包装箱中设备零部件挂上标牌，标明其部件名称、规格型号、主要设备名称或编号及其在装配图中的位置号。合同设备部件在包装箱中应堆放有序，不同部件应分开。备品备件和安装维修工具除按上述要求标记外，还应相应标上“备品备件”、“维修设备”、“试验设备”或“安装维修工具”字样，单独包装，不与其它设备部件混装于同一箱件中，在装箱单中也应加以注明。除备品备件外，不同的工具和消耗品应分别包装。</w:t>
      </w:r>
    </w:p>
    <w:p>
      <w:pPr>
        <w:pStyle w:val="34"/>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3</w:t>
      </w:r>
      <w:r>
        <w:rPr>
          <w:rFonts w:hint="eastAsia" w:ascii="宋体" w:hAnsi="宋体"/>
          <w:snapToGrid w:val="0"/>
          <w:kern w:val="0"/>
          <w:szCs w:val="21"/>
        </w:rPr>
        <w:t>）卖方应在每个包装箱的四周用不褪色油漆以醒目的中文和英文刷上以下标记：</w:t>
      </w:r>
    </w:p>
    <w:p>
      <w:pPr>
        <w:pStyle w:val="34"/>
        <w:adjustRightInd w:val="0"/>
        <w:snapToGrid w:val="0"/>
        <w:spacing w:line="400" w:lineRule="exact"/>
        <w:ind w:firstLine="420" w:firstLineChars="200"/>
        <w:rPr>
          <w:rFonts w:ascii="宋体" w:hAnsi="宋体"/>
          <w:snapToGrid w:val="0"/>
          <w:kern w:val="0"/>
          <w:szCs w:val="21"/>
        </w:rPr>
      </w:pPr>
      <w:r>
        <w:rPr>
          <w:rFonts w:ascii="宋体" w:hAnsi="宋体"/>
          <w:snapToGrid w:val="0"/>
          <w:kern w:val="0"/>
          <w:szCs w:val="21"/>
        </w:rPr>
        <w:t>1</w:t>
      </w:r>
      <w:r>
        <w:rPr>
          <w:rFonts w:hint="eastAsia" w:ascii="宋体" w:hAnsi="宋体"/>
          <w:snapToGrid w:val="0"/>
          <w:kern w:val="0"/>
          <w:szCs w:val="21"/>
        </w:rPr>
        <w:t>）合同号；</w:t>
      </w:r>
    </w:p>
    <w:p>
      <w:pPr>
        <w:pStyle w:val="34"/>
        <w:adjustRightInd w:val="0"/>
        <w:snapToGrid w:val="0"/>
        <w:spacing w:line="400" w:lineRule="exact"/>
        <w:ind w:firstLine="420" w:firstLineChars="200"/>
        <w:rPr>
          <w:rFonts w:ascii="宋体" w:hAnsi="宋体"/>
          <w:snapToGrid w:val="0"/>
          <w:kern w:val="0"/>
          <w:szCs w:val="21"/>
        </w:rPr>
      </w:pPr>
      <w:r>
        <w:rPr>
          <w:rFonts w:ascii="宋体" w:hAnsi="宋体"/>
          <w:snapToGrid w:val="0"/>
          <w:kern w:val="0"/>
          <w:szCs w:val="21"/>
        </w:rPr>
        <w:t>2</w:t>
      </w:r>
      <w:r>
        <w:rPr>
          <w:rFonts w:hint="eastAsia" w:ascii="宋体" w:hAnsi="宋体"/>
          <w:snapToGrid w:val="0"/>
          <w:kern w:val="0"/>
          <w:szCs w:val="21"/>
        </w:rPr>
        <w:t>）唛头标记；</w:t>
      </w:r>
    </w:p>
    <w:p>
      <w:pPr>
        <w:pStyle w:val="34"/>
        <w:adjustRightInd w:val="0"/>
        <w:snapToGrid w:val="0"/>
        <w:spacing w:line="400" w:lineRule="exact"/>
        <w:ind w:firstLine="420" w:firstLineChars="200"/>
        <w:rPr>
          <w:rFonts w:ascii="宋体" w:hAnsi="宋体"/>
          <w:snapToGrid w:val="0"/>
          <w:kern w:val="0"/>
          <w:szCs w:val="21"/>
        </w:rPr>
      </w:pPr>
      <w:r>
        <w:rPr>
          <w:rFonts w:ascii="宋体" w:hAnsi="宋体"/>
          <w:snapToGrid w:val="0"/>
          <w:kern w:val="0"/>
          <w:szCs w:val="21"/>
        </w:rPr>
        <mc:AlternateContent>
          <mc:Choice Requires="wps">
            <w:drawing>
              <wp:anchor distT="0" distB="0" distL="114300" distR="114300" simplePos="0" relativeHeight="251666432" behindDoc="0" locked="0" layoutInCell="0" allowOverlap="1">
                <wp:simplePos x="0" y="0"/>
                <wp:positionH relativeFrom="column">
                  <wp:posOffset>2399665</wp:posOffset>
                </wp:positionH>
                <wp:positionV relativeFrom="paragraph">
                  <wp:posOffset>254635</wp:posOffset>
                </wp:positionV>
                <wp:extent cx="114935" cy="635"/>
                <wp:effectExtent l="0" t="0" r="0" b="0"/>
                <wp:wrapNone/>
                <wp:docPr id="2" name="矩形 1035"/>
                <wp:cNvGraphicFramePr/>
                <a:graphic xmlns:a="http://schemas.openxmlformats.org/drawingml/2006/main">
                  <a:graphicData uri="http://schemas.microsoft.com/office/word/2010/wordprocessingShape">
                    <wps:wsp>
                      <wps:cNvSpPr/>
                      <wps:spPr>
                        <a:xfrm>
                          <a:off x="0" y="0"/>
                          <a:ext cx="114935" cy="635"/>
                        </a:xfrm>
                        <a:prstGeom prst="rect">
                          <a:avLst/>
                        </a:prstGeom>
                        <a:solidFill>
                          <a:srgbClr val="000080"/>
                        </a:solidFill>
                        <a:ln>
                          <a:noFill/>
                        </a:ln>
                      </wps:spPr>
                      <wps:bodyPr upright="1"/>
                    </wps:wsp>
                  </a:graphicData>
                </a:graphic>
              </wp:anchor>
            </w:drawing>
          </mc:Choice>
          <mc:Fallback>
            <w:pict>
              <v:rect id="矩形 1035" o:spid="_x0000_s1026" o:spt="1" style="position:absolute;left:0pt;margin-left:188.95pt;margin-top:20.05pt;height:0.05pt;width:9.05pt;z-index:251666432;mso-width-relative:page;mso-height-relative:page;" fillcolor="#000080" filled="t" stroked="f" coordsize="21600,21600" o:allowincell="f" o:gfxdata="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">
                <v:fill on="t" focussize="0,0"/>
                <v:stroke on="f"/>
                <v:imagedata o:title=""/>
                <o:lock v:ext="edit" aspectratio="f"/>
              </v:rect>
            </w:pict>
          </mc:Fallback>
        </mc:AlternateContent>
      </w:r>
      <w:r>
        <w:rPr>
          <w:rFonts w:ascii="宋体" w:hAnsi="宋体"/>
          <w:snapToGrid w:val="0"/>
          <w:kern w:val="0"/>
          <w:szCs w:val="21"/>
        </w:rPr>
        <w:t>3</w:t>
      </w:r>
      <w:r>
        <w:rPr>
          <w:rFonts w:hint="eastAsia" w:ascii="宋体" w:hAnsi="宋体"/>
          <w:snapToGrid w:val="0"/>
          <w:kern w:val="0"/>
          <w:szCs w:val="21"/>
        </w:rPr>
        <w:t>）目的地；</w:t>
      </w:r>
    </w:p>
    <w:p>
      <w:pPr>
        <w:pStyle w:val="34"/>
        <w:adjustRightInd w:val="0"/>
        <w:snapToGrid w:val="0"/>
        <w:spacing w:line="400" w:lineRule="exact"/>
        <w:ind w:firstLine="420" w:firstLineChars="200"/>
        <w:rPr>
          <w:rFonts w:ascii="宋体" w:hAnsi="宋体"/>
          <w:snapToGrid w:val="0"/>
          <w:kern w:val="0"/>
          <w:szCs w:val="21"/>
        </w:rPr>
      </w:pPr>
      <w:r>
        <w:rPr>
          <w:rFonts w:ascii="宋体" w:hAnsi="宋体"/>
          <w:snapToGrid w:val="0"/>
          <w:kern w:val="0"/>
          <w:szCs w:val="21"/>
        </w:rPr>
        <w:t>4</w:t>
      </w:r>
      <w:r>
        <w:rPr>
          <w:rFonts w:hint="eastAsia" w:ascii="宋体" w:hAnsi="宋体"/>
          <w:snapToGrid w:val="0"/>
          <w:kern w:val="0"/>
          <w:szCs w:val="21"/>
        </w:rPr>
        <w:t>）收货人；</w:t>
      </w:r>
    </w:p>
    <w:p>
      <w:pPr>
        <w:pStyle w:val="34"/>
        <w:adjustRightInd w:val="0"/>
        <w:snapToGrid w:val="0"/>
        <w:spacing w:line="400" w:lineRule="exact"/>
        <w:ind w:firstLine="420" w:firstLineChars="200"/>
        <w:rPr>
          <w:rFonts w:ascii="宋体" w:hAnsi="宋体"/>
          <w:snapToGrid w:val="0"/>
          <w:kern w:val="0"/>
          <w:szCs w:val="21"/>
        </w:rPr>
      </w:pPr>
      <w:r>
        <w:rPr>
          <w:rFonts w:ascii="宋体" w:hAnsi="宋体"/>
          <w:snapToGrid w:val="0"/>
          <w:kern w:val="0"/>
          <w:szCs w:val="21"/>
        </w:rPr>
        <w:t>5</w:t>
      </w:r>
      <w:r>
        <w:rPr>
          <w:rFonts w:hint="eastAsia" w:ascii="宋体" w:hAnsi="宋体"/>
          <w:snapToGrid w:val="0"/>
          <w:kern w:val="0"/>
          <w:szCs w:val="21"/>
        </w:rPr>
        <w:t>）合同设备名称、设备编号和包装箱号；</w:t>
      </w:r>
    </w:p>
    <w:p>
      <w:pPr>
        <w:pStyle w:val="34"/>
        <w:adjustRightInd w:val="0"/>
        <w:snapToGrid w:val="0"/>
        <w:spacing w:line="400" w:lineRule="exact"/>
        <w:ind w:firstLine="420" w:firstLineChars="200"/>
        <w:rPr>
          <w:rFonts w:ascii="宋体" w:hAnsi="宋体"/>
          <w:snapToGrid w:val="0"/>
          <w:kern w:val="0"/>
          <w:szCs w:val="21"/>
        </w:rPr>
      </w:pPr>
      <w:r>
        <w:rPr>
          <w:rFonts w:ascii="宋体" w:hAnsi="宋体"/>
          <w:snapToGrid w:val="0"/>
          <w:kern w:val="0"/>
          <w:szCs w:val="21"/>
        </w:rPr>
        <w:t>6</w:t>
      </w:r>
      <w:r>
        <w:rPr>
          <w:rFonts w:hint="eastAsia" w:ascii="宋体" w:hAnsi="宋体"/>
          <w:snapToGrid w:val="0"/>
          <w:kern w:val="0"/>
          <w:szCs w:val="21"/>
        </w:rPr>
        <w:t>）收货人编号；</w:t>
      </w:r>
    </w:p>
    <w:p>
      <w:pPr>
        <w:pStyle w:val="34"/>
        <w:adjustRightInd w:val="0"/>
        <w:snapToGrid w:val="0"/>
        <w:spacing w:line="400" w:lineRule="exact"/>
        <w:ind w:firstLine="420" w:firstLineChars="200"/>
        <w:rPr>
          <w:rFonts w:ascii="宋体" w:hAnsi="宋体"/>
          <w:snapToGrid w:val="0"/>
          <w:kern w:val="0"/>
          <w:szCs w:val="21"/>
        </w:rPr>
      </w:pPr>
      <w:r>
        <w:rPr>
          <w:rFonts w:ascii="宋体" w:hAnsi="宋体"/>
          <w:snapToGrid w:val="0"/>
          <w:kern w:val="0"/>
          <w:szCs w:val="21"/>
        </w:rPr>
        <w:t>7</w:t>
      </w:r>
      <w:r>
        <w:rPr>
          <w:rFonts w:hint="eastAsia" w:ascii="宋体" w:hAnsi="宋体"/>
          <w:snapToGrid w:val="0"/>
          <w:kern w:val="0"/>
          <w:szCs w:val="21"/>
        </w:rPr>
        <w:t>）毛重/净重（千克）；</w:t>
      </w:r>
    </w:p>
    <w:p>
      <w:pPr>
        <w:pStyle w:val="34"/>
        <w:adjustRightInd w:val="0"/>
        <w:snapToGrid w:val="0"/>
        <w:spacing w:line="400" w:lineRule="exact"/>
        <w:ind w:firstLine="420" w:firstLineChars="200"/>
        <w:rPr>
          <w:rFonts w:ascii="宋体" w:hAnsi="宋体"/>
          <w:snapToGrid w:val="0"/>
          <w:kern w:val="0"/>
          <w:szCs w:val="21"/>
        </w:rPr>
      </w:pPr>
      <w:r>
        <w:rPr>
          <w:rFonts w:ascii="宋体" w:hAnsi="宋体"/>
          <w:snapToGrid w:val="0"/>
          <w:kern w:val="0"/>
          <w:szCs w:val="21"/>
        </w:rPr>
        <w:t>8</w:t>
      </w:r>
      <w:r>
        <w:rPr>
          <w:rFonts w:hint="eastAsia" w:ascii="宋体" w:hAnsi="宋体"/>
          <w:snapToGrid w:val="0"/>
          <w:kern w:val="0"/>
          <w:szCs w:val="21"/>
        </w:rPr>
        <w:t>）体积（长×宽×高</w:t>
      </w:r>
      <w:r>
        <w:rPr>
          <w:rFonts w:ascii="宋体" w:hAnsi="宋体"/>
          <w:snapToGrid w:val="0"/>
          <w:kern w:val="0"/>
          <w:szCs w:val="21"/>
        </w:rPr>
        <w:t>cm</w:t>
      </w:r>
      <w:r>
        <w:rPr>
          <w:rFonts w:hint="eastAsia" w:ascii="宋体" w:hAnsi="宋体"/>
          <w:snapToGrid w:val="0"/>
          <w:kern w:val="0"/>
          <w:szCs w:val="21"/>
        </w:rPr>
        <w:t>）；</w:t>
      </w:r>
    </w:p>
    <w:p>
      <w:pPr>
        <w:pStyle w:val="34"/>
        <w:adjustRightInd w:val="0"/>
        <w:snapToGrid w:val="0"/>
        <w:spacing w:line="400" w:lineRule="exact"/>
        <w:ind w:firstLine="420" w:firstLineChars="200"/>
        <w:rPr>
          <w:rFonts w:ascii="宋体" w:hAnsi="宋体"/>
          <w:snapToGrid w:val="0"/>
          <w:kern w:val="0"/>
          <w:szCs w:val="21"/>
        </w:rPr>
      </w:pPr>
      <w:r>
        <w:rPr>
          <w:rFonts w:ascii="宋体" w:hAnsi="宋体"/>
          <w:snapToGrid w:val="0"/>
          <w:kern w:val="0"/>
          <w:szCs w:val="21"/>
        </w:rPr>
        <w:t>9</w:t>
      </w:r>
      <w:r>
        <w:rPr>
          <w:rFonts w:hint="eastAsia" w:ascii="宋体" w:hAnsi="宋体"/>
          <w:snapToGrid w:val="0"/>
          <w:kern w:val="0"/>
          <w:szCs w:val="21"/>
        </w:rPr>
        <w:t>）仓储等级。</w:t>
      </w:r>
    </w:p>
    <w:p>
      <w:pPr>
        <w:pStyle w:val="34"/>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对裸装的合同设备，上述内容应用至少两个金属标牌标明并牢固地固定在其相应位置上。对经买方事先允许可以装在甲板上运输的大件货物，应提供足够的支承架和包装垫木。裸装合同设备的装箱单应分别集中包装，随合同设备同时发运。</w:t>
      </w:r>
    </w:p>
    <w:p>
      <w:pPr>
        <w:pStyle w:val="34"/>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卖方应在重量大于或等于</w:t>
      </w:r>
      <w:r>
        <w:rPr>
          <w:rFonts w:ascii="宋体" w:hAnsi="宋体"/>
          <w:snapToGrid w:val="0"/>
          <w:kern w:val="0"/>
          <w:szCs w:val="21"/>
        </w:rPr>
        <w:t>2t</w:t>
      </w:r>
      <w:r>
        <w:rPr>
          <w:rFonts w:hint="eastAsia" w:ascii="宋体" w:hAnsi="宋体"/>
          <w:snapToGrid w:val="0"/>
          <w:kern w:val="0"/>
          <w:szCs w:val="21"/>
        </w:rPr>
        <w:t>的每个包装箱的相邻四侧用国际贸易运输常用的标记标明重量、重心和吊点的位置以便于装卸和搬运。根据合同设备的特点和在运输中的不同要求，卖方应在包装箱上用中文和英文醒目地标明“小心轻放”、“勿倒置”、“保持干燥”等字样以及相应的国际贸易通用的标记图案。</w:t>
      </w:r>
    </w:p>
    <w:p>
      <w:pPr>
        <w:pStyle w:val="34"/>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在合同设备的每件包装中都应附有下列单据：详细装箱单副本一式</w:t>
      </w:r>
      <w:r>
        <w:rPr>
          <w:rFonts w:ascii="宋体" w:hAnsi="宋体"/>
          <w:snapToGrid w:val="0"/>
          <w:kern w:val="0"/>
          <w:szCs w:val="21"/>
        </w:rPr>
        <w:t>2</w:t>
      </w:r>
      <w:r>
        <w:rPr>
          <w:rFonts w:hint="eastAsia" w:ascii="宋体" w:hAnsi="宋体"/>
          <w:snapToGrid w:val="0"/>
          <w:kern w:val="0"/>
          <w:szCs w:val="21"/>
        </w:rPr>
        <w:t>份（包装箱内外各</w:t>
      </w:r>
      <w:r>
        <w:rPr>
          <w:rFonts w:ascii="宋体" w:hAnsi="宋体"/>
          <w:snapToGrid w:val="0"/>
          <w:kern w:val="0"/>
          <w:szCs w:val="21"/>
        </w:rPr>
        <w:t>1</w:t>
      </w:r>
      <w:r>
        <w:rPr>
          <w:rFonts w:hint="eastAsia" w:ascii="宋体" w:hAnsi="宋体"/>
          <w:snapToGrid w:val="0"/>
          <w:kern w:val="0"/>
          <w:szCs w:val="21"/>
        </w:rPr>
        <w:t>份）、质量合格证副本一式</w:t>
      </w:r>
      <w:r>
        <w:rPr>
          <w:rFonts w:ascii="宋体" w:hAnsi="宋体"/>
          <w:snapToGrid w:val="0"/>
          <w:kern w:val="0"/>
          <w:szCs w:val="21"/>
        </w:rPr>
        <w:t>2</w:t>
      </w:r>
      <w:r>
        <w:rPr>
          <w:rFonts w:hint="eastAsia" w:ascii="宋体" w:hAnsi="宋体"/>
          <w:snapToGrid w:val="0"/>
          <w:kern w:val="0"/>
          <w:szCs w:val="21"/>
        </w:rPr>
        <w:t>份、相关合同设备的技术文件副本</w:t>
      </w:r>
      <w:r>
        <w:rPr>
          <w:rFonts w:ascii="宋体" w:hAnsi="宋体"/>
          <w:snapToGrid w:val="0"/>
          <w:kern w:val="0"/>
          <w:szCs w:val="21"/>
        </w:rPr>
        <w:t>2</w:t>
      </w:r>
      <w:r>
        <w:rPr>
          <w:rFonts w:hint="eastAsia" w:ascii="宋体" w:hAnsi="宋体"/>
          <w:snapToGrid w:val="0"/>
          <w:kern w:val="0"/>
          <w:szCs w:val="21"/>
        </w:rPr>
        <w:t>份、需要安装的设备及部件的详细系统装配图副本</w:t>
      </w:r>
      <w:r>
        <w:rPr>
          <w:rFonts w:ascii="宋体" w:hAnsi="宋体"/>
          <w:snapToGrid w:val="0"/>
          <w:kern w:val="0"/>
          <w:szCs w:val="21"/>
        </w:rPr>
        <w:t>2</w:t>
      </w:r>
      <w:r>
        <w:rPr>
          <w:rFonts w:hint="eastAsia" w:ascii="宋体" w:hAnsi="宋体"/>
          <w:snapToGrid w:val="0"/>
          <w:kern w:val="0"/>
          <w:szCs w:val="21"/>
        </w:rPr>
        <w:t>份。在装箱单中应注明技术文件和装配图所处箱件。</w:t>
      </w:r>
    </w:p>
    <w:p>
      <w:pPr>
        <w:pStyle w:val="34"/>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4</w:t>
      </w:r>
      <w:r>
        <w:rPr>
          <w:rFonts w:hint="eastAsia" w:ascii="宋体" w:hAnsi="宋体"/>
          <w:snapToGrid w:val="0"/>
          <w:kern w:val="0"/>
          <w:szCs w:val="21"/>
        </w:rPr>
        <w:t>）卖方应按本条款的规定对其提供的包装不善而引起的合同设备的锈蚀、变形、短缺、损坏和丢失负责修理、更换或赔偿。</w:t>
      </w:r>
    </w:p>
    <w:p>
      <w:pPr>
        <w:pStyle w:val="34"/>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5</w:t>
      </w:r>
      <w:r>
        <w:rPr>
          <w:rFonts w:hint="eastAsia" w:ascii="宋体" w:hAnsi="宋体"/>
          <w:snapToGrid w:val="0"/>
          <w:kern w:val="0"/>
          <w:szCs w:val="21"/>
        </w:rPr>
        <w:t>）如果使用集装箱运输，卖方应在装运前对集装箱内部和外部的状况进行全面检查，以确保用于运输合同设备的集装箱状态良好。集装箱内应备有充足的货物支架和包装垫木，以防止合同设备在集装箱内移动。卖方应对因其疏忽而导致的合同设备的任何损坏和丢失负责。</w:t>
      </w:r>
    </w:p>
    <w:p>
      <w:pPr>
        <w:pStyle w:val="34"/>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6</w:t>
      </w:r>
      <w:r>
        <w:rPr>
          <w:rFonts w:hint="eastAsia" w:ascii="宋体" w:hAnsi="宋体"/>
          <w:snapToGrid w:val="0"/>
          <w:kern w:val="0"/>
          <w:szCs w:val="21"/>
        </w:rPr>
        <w:t>）在整个运输过程中凡由于卖方包装或保管不善致使货物遭到损坏或丢失时</w:t>
      </w:r>
      <w:r>
        <w:rPr>
          <w:rFonts w:ascii="宋体" w:hAnsi="宋体"/>
          <w:snapToGrid w:val="0"/>
          <w:kern w:val="0"/>
          <w:szCs w:val="21"/>
        </w:rPr>
        <w:t>,</w:t>
      </w:r>
      <w:r>
        <w:rPr>
          <w:rFonts w:hint="eastAsia" w:ascii="宋体" w:hAnsi="宋体"/>
          <w:snapToGrid w:val="0"/>
          <w:kern w:val="0"/>
          <w:szCs w:val="21"/>
        </w:rPr>
        <w:t>卖方均应按本合同规定负责及时修理、更换或赔偿。如果因卖方在包装和唛头标记方面发生的错误或混淆不清事宜造成合同设备的误运，卖方应承担由此发生的额外费用。在运输中如非卖方包装原因发生货物损坏和丢失时，买方应立即向承运部门索取相关证明文件，并通知卖方。买方负责与承运部门及保险公司交涉，卖方协助买方尽快处理，同时卖方应尽快向买方补供货物以满足工期需要，其费用由买方承担。</w:t>
      </w:r>
    </w:p>
    <w:p>
      <w:pPr>
        <w:pStyle w:val="34"/>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7</w:t>
      </w:r>
      <w:r>
        <w:rPr>
          <w:rFonts w:hint="eastAsia" w:ascii="宋体" w:hAnsi="宋体"/>
          <w:snapToGrid w:val="0"/>
          <w:kern w:val="0"/>
          <w:szCs w:val="21"/>
        </w:rPr>
        <w:t>）对于大件合同设备，卖方应提供足够的支架或包装垫木，且支架或包装垫木归买方所有。</w:t>
      </w:r>
    </w:p>
    <w:p>
      <w:pPr>
        <w:pStyle w:val="34"/>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8</w:t>
      </w:r>
      <w:r>
        <w:rPr>
          <w:rFonts w:hint="eastAsia" w:ascii="宋体" w:hAnsi="宋体"/>
          <w:snapToGrid w:val="0"/>
          <w:kern w:val="0"/>
          <w:szCs w:val="21"/>
        </w:rPr>
        <w:t>）本合同项下合同设备的包装物不回收。</w:t>
      </w:r>
    </w:p>
    <w:p>
      <w:pPr>
        <w:pStyle w:val="34"/>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9</w:t>
      </w:r>
      <w:r>
        <w:rPr>
          <w:rFonts w:hint="eastAsia" w:ascii="宋体" w:hAnsi="宋体"/>
          <w:snapToGrid w:val="0"/>
          <w:kern w:val="0"/>
          <w:szCs w:val="21"/>
        </w:rPr>
        <w:t>）卖方应自行考察公路运输路线（国内段）以确定合理的运输方案。</w:t>
      </w:r>
    </w:p>
    <w:p>
      <w:pPr>
        <w:pStyle w:val="34"/>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10</w:t>
      </w:r>
      <w:r>
        <w:rPr>
          <w:rFonts w:hint="eastAsia" w:ascii="宋体" w:hAnsi="宋体"/>
          <w:snapToGrid w:val="0"/>
          <w:kern w:val="0"/>
          <w:szCs w:val="21"/>
        </w:rPr>
        <w:t>）随产品提供的技术资料应完整无缺，并应另寄一份给买方。</w:t>
      </w:r>
    </w:p>
    <w:p>
      <w:pPr>
        <w:adjustRightInd w:val="0"/>
        <w:snapToGrid w:val="0"/>
        <w:spacing w:line="400" w:lineRule="exact"/>
        <w:ind w:firstLine="420" w:firstLineChars="200"/>
        <w:rPr>
          <w:rFonts w:ascii="宋体" w:hAnsi="宋体"/>
          <w:snapToGrid w:val="0"/>
          <w:kern w:val="0"/>
          <w:szCs w:val="21"/>
        </w:rPr>
      </w:pPr>
      <w:bookmarkStart w:id="204" w:name="_Toc421892355"/>
      <w:r>
        <w:rPr>
          <w:rFonts w:hint="eastAsia" w:ascii="宋体" w:hAnsi="宋体"/>
          <w:snapToGrid w:val="0"/>
          <w:kern w:val="0"/>
          <w:szCs w:val="21"/>
        </w:rPr>
        <w:t>3</w:t>
      </w:r>
      <w:r>
        <w:rPr>
          <w:rFonts w:ascii="宋体" w:hAnsi="宋体"/>
          <w:snapToGrid w:val="0"/>
          <w:kern w:val="0"/>
          <w:szCs w:val="21"/>
        </w:rPr>
        <w:t>.</w:t>
      </w:r>
      <w:r>
        <w:rPr>
          <w:rFonts w:hint="eastAsia" w:ascii="宋体" w:hAnsi="宋体"/>
          <w:snapToGrid w:val="0"/>
          <w:kern w:val="0"/>
          <w:szCs w:val="21"/>
        </w:rPr>
        <w:t>16  图纸及资料</w:t>
      </w:r>
      <w:bookmarkEnd w:id="204"/>
    </w:p>
    <w:p>
      <w:pPr>
        <w:adjustRightInd w:val="0"/>
        <w:snapToGrid w:val="0"/>
        <w:spacing w:line="400" w:lineRule="exact"/>
        <w:ind w:firstLine="420" w:firstLineChars="200"/>
        <w:rPr>
          <w:rFonts w:hint="eastAsia" w:ascii="宋体" w:hAnsi="宋体"/>
          <w:snapToGrid w:val="0"/>
          <w:kern w:val="0"/>
          <w:szCs w:val="21"/>
        </w:rPr>
      </w:pPr>
      <w:bookmarkStart w:id="205" w:name="_Toc31791938"/>
      <w:r>
        <w:rPr>
          <w:rFonts w:hint="eastAsia" w:ascii="宋体" w:hAnsi="宋体"/>
          <w:snapToGrid w:val="0"/>
          <w:kern w:val="0"/>
          <w:szCs w:val="21"/>
        </w:rPr>
        <w:t>3.16.1  工厂图纸</w:t>
      </w:r>
      <w:bookmarkEnd w:id="205"/>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1</w:t>
      </w:r>
      <w:r>
        <w:rPr>
          <w:rFonts w:hint="eastAsia" w:ascii="宋体" w:hAnsi="宋体"/>
          <w:snapToGrid w:val="0"/>
          <w:kern w:val="0"/>
          <w:szCs w:val="21"/>
        </w:rPr>
        <w:t>）“工厂图纸”包括装配图、接线及安装设计图、布置图；材料和设备的清单或表格；以及说明书、材质证明、合格证、特性及试验数据等有关必需的技术文件。</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2</w:t>
      </w:r>
      <w:r>
        <w:rPr>
          <w:rFonts w:hint="eastAsia" w:ascii="宋体" w:hAnsi="宋体"/>
          <w:snapToGrid w:val="0"/>
          <w:kern w:val="0"/>
          <w:szCs w:val="21"/>
        </w:rPr>
        <w:t>）工厂图纸主要类别包括：</w:t>
      </w:r>
    </w:p>
    <w:p>
      <w:pPr>
        <w:pStyle w:val="296"/>
        <w:autoSpaceDE w:val="0"/>
        <w:autoSpaceDN w:val="0"/>
        <w:snapToGrid w:val="0"/>
        <w:spacing w:line="400" w:lineRule="exact"/>
        <w:ind w:left="0" w:firstLine="420" w:firstLineChars="200"/>
        <w:textAlignment w:val="bottom"/>
        <w:rPr>
          <w:rFonts w:hAnsi="宋体" w:eastAsia="宋体"/>
          <w:snapToGrid w:val="0"/>
          <w:sz w:val="21"/>
          <w:szCs w:val="21"/>
        </w:rPr>
      </w:pPr>
      <w:r>
        <w:rPr>
          <w:rFonts w:hint="eastAsia" w:hAnsi="宋体" w:eastAsia="宋体"/>
          <w:snapToGrid w:val="0"/>
          <w:sz w:val="21"/>
          <w:szCs w:val="21"/>
        </w:rPr>
        <w:t>1）各通信设备的前、后和侧视图；</w:t>
      </w:r>
    </w:p>
    <w:p>
      <w:pPr>
        <w:pStyle w:val="296"/>
        <w:autoSpaceDE w:val="0"/>
        <w:autoSpaceDN w:val="0"/>
        <w:snapToGrid w:val="0"/>
        <w:spacing w:line="400" w:lineRule="exact"/>
        <w:ind w:left="0" w:firstLine="420" w:firstLineChars="200"/>
        <w:textAlignment w:val="bottom"/>
        <w:rPr>
          <w:rFonts w:hAnsi="宋体" w:eastAsia="宋体"/>
          <w:snapToGrid w:val="0"/>
          <w:sz w:val="21"/>
          <w:szCs w:val="21"/>
        </w:rPr>
      </w:pPr>
      <w:r>
        <w:rPr>
          <w:rFonts w:hAnsi="宋体" w:eastAsia="宋体"/>
          <w:snapToGrid w:val="0"/>
          <w:sz w:val="21"/>
          <w:szCs w:val="21"/>
        </w:rPr>
        <w:t>*</w:t>
      </w:r>
      <w:r>
        <w:rPr>
          <w:rFonts w:hint="eastAsia" w:hAnsi="宋体" w:eastAsia="宋体"/>
          <w:snapToGrid w:val="0"/>
          <w:sz w:val="21"/>
          <w:szCs w:val="21"/>
        </w:rPr>
        <w:t xml:space="preserve"> 2）通信机房的设备布置平面图和断面图；</w:t>
      </w:r>
    </w:p>
    <w:p>
      <w:pPr>
        <w:pStyle w:val="296"/>
        <w:autoSpaceDE w:val="0"/>
        <w:autoSpaceDN w:val="0"/>
        <w:snapToGrid w:val="0"/>
        <w:spacing w:line="400" w:lineRule="exact"/>
        <w:ind w:left="0" w:firstLine="420" w:firstLineChars="200"/>
        <w:textAlignment w:val="bottom"/>
        <w:rPr>
          <w:rFonts w:hAnsi="宋体" w:eastAsia="宋体"/>
          <w:snapToGrid w:val="0"/>
          <w:sz w:val="21"/>
          <w:szCs w:val="21"/>
        </w:rPr>
      </w:pPr>
      <w:r>
        <w:rPr>
          <w:rFonts w:hint="eastAsia" w:hAnsi="宋体" w:eastAsia="宋体"/>
          <w:snapToGrid w:val="0"/>
          <w:sz w:val="21"/>
          <w:szCs w:val="21"/>
        </w:rPr>
        <w:t>3）各通信设备的锚固详图和估计重量；</w:t>
      </w:r>
    </w:p>
    <w:p>
      <w:pPr>
        <w:pStyle w:val="296"/>
        <w:autoSpaceDE w:val="0"/>
        <w:autoSpaceDN w:val="0"/>
        <w:snapToGrid w:val="0"/>
        <w:spacing w:line="400" w:lineRule="exact"/>
        <w:ind w:left="0" w:firstLine="420" w:firstLineChars="200"/>
        <w:textAlignment w:val="bottom"/>
        <w:rPr>
          <w:rFonts w:hAnsi="宋体" w:eastAsia="宋体"/>
          <w:snapToGrid w:val="0"/>
          <w:sz w:val="21"/>
          <w:szCs w:val="21"/>
        </w:rPr>
      </w:pPr>
      <w:r>
        <w:rPr>
          <w:rFonts w:hAnsi="宋体" w:eastAsia="宋体"/>
          <w:snapToGrid w:val="0"/>
          <w:sz w:val="21"/>
          <w:szCs w:val="21"/>
        </w:rPr>
        <w:t>*</w:t>
      </w:r>
      <w:r>
        <w:rPr>
          <w:rFonts w:hint="eastAsia" w:hAnsi="宋体" w:eastAsia="宋体"/>
          <w:snapToGrid w:val="0"/>
          <w:sz w:val="21"/>
          <w:szCs w:val="21"/>
        </w:rPr>
        <w:t xml:space="preserve"> 4）逐条说明各通信设备的功能；</w:t>
      </w:r>
    </w:p>
    <w:p>
      <w:pPr>
        <w:pStyle w:val="296"/>
        <w:autoSpaceDE w:val="0"/>
        <w:autoSpaceDN w:val="0"/>
        <w:snapToGrid w:val="0"/>
        <w:spacing w:line="400" w:lineRule="exact"/>
        <w:ind w:left="0" w:firstLine="420" w:firstLineChars="200"/>
        <w:textAlignment w:val="bottom"/>
        <w:rPr>
          <w:rFonts w:hAnsi="宋体" w:eastAsia="宋体"/>
          <w:snapToGrid w:val="0"/>
          <w:sz w:val="21"/>
          <w:szCs w:val="21"/>
        </w:rPr>
      </w:pPr>
      <w:r>
        <w:rPr>
          <w:rFonts w:hAnsi="宋体" w:eastAsia="宋体"/>
          <w:snapToGrid w:val="0"/>
          <w:sz w:val="21"/>
          <w:szCs w:val="21"/>
        </w:rPr>
        <w:t>*</w:t>
      </w:r>
      <w:r>
        <w:rPr>
          <w:rFonts w:hint="eastAsia" w:hAnsi="宋体" w:eastAsia="宋体"/>
          <w:snapToGrid w:val="0"/>
          <w:sz w:val="21"/>
          <w:szCs w:val="21"/>
        </w:rPr>
        <w:t xml:space="preserve"> 5）各通信设备外接电源的型式，电压和允许偏差范围，以及接地电阻和接地方法的要求；</w:t>
      </w:r>
    </w:p>
    <w:p>
      <w:pPr>
        <w:pStyle w:val="296"/>
        <w:autoSpaceDE w:val="0"/>
        <w:autoSpaceDN w:val="0"/>
        <w:snapToGrid w:val="0"/>
        <w:spacing w:line="400" w:lineRule="exact"/>
        <w:ind w:left="0" w:firstLine="420" w:firstLineChars="200"/>
        <w:textAlignment w:val="bottom"/>
        <w:rPr>
          <w:rFonts w:hAnsi="宋体" w:eastAsia="宋体"/>
          <w:snapToGrid w:val="0"/>
          <w:sz w:val="21"/>
          <w:szCs w:val="21"/>
        </w:rPr>
      </w:pPr>
      <w:r>
        <w:rPr>
          <w:rFonts w:hint="eastAsia" w:hAnsi="宋体" w:eastAsia="宋体"/>
          <w:snapToGrid w:val="0"/>
          <w:sz w:val="21"/>
          <w:szCs w:val="21"/>
        </w:rPr>
        <w:t>6）各通信设备接线图、端子排布置和外部电缆连接详图。</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（3）工厂图纸</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工厂图纸应规定所有加工或制造项目的实际细节，指出相邻工序的适当关系，以及详述机械和电气设备有关实际尺寸的设计细节，包括为符合实际的设计或施工所允许微小的变化。工厂图纸应按比例绘制，并完整地标注尺寸，尺寸单位为公制。</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工厂图纸图幅应符合</w:t>
      </w:r>
      <w:r>
        <w:rPr>
          <w:rFonts w:ascii="宋体" w:hAnsi="宋体"/>
          <w:snapToGrid w:val="0"/>
          <w:kern w:val="0"/>
          <w:szCs w:val="21"/>
        </w:rPr>
        <w:t>GB</w:t>
      </w:r>
      <w:r>
        <w:rPr>
          <w:rFonts w:hint="eastAsia" w:ascii="宋体" w:hAnsi="宋体"/>
          <w:snapToGrid w:val="0"/>
          <w:kern w:val="0"/>
          <w:szCs w:val="21"/>
        </w:rPr>
        <w:t>标准，除有特殊要求更大尺寸的图外，最好不要超过</w:t>
      </w:r>
      <w:r>
        <w:rPr>
          <w:rFonts w:ascii="宋体" w:hAnsi="宋体"/>
          <w:snapToGrid w:val="0"/>
          <w:kern w:val="0"/>
          <w:szCs w:val="21"/>
        </w:rPr>
        <w:t>841mm</w:t>
      </w:r>
      <w:r>
        <w:rPr>
          <w:rFonts w:hint="eastAsia" w:ascii="宋体" w:hAnsi="宋体"/>
          <w:snapToGrid w:val="0"/>
          <w:kern w:val="0"/>
          <w:szCs w:val="21"/>
        </w:rPr>
        <w:t>×</w:t>
      </w:r>
      <w:r>
        <w:rPr>
          <w:rFonts w:ascii="宋体" w:hAnsi="宋体"/>
          <w:snapToGrid w:val="0"/>
          <w:kern w:val="0"/>
          <w:szCs w:val="21"/>
        </w:rPr>
        <w:t>594mm</w:t>
      </w:r>
      <w:r>
        <w:rPr>
          <w:rFonts w:hint="eastAsia" w:ascii="宋体" w:hAnsi="宋体"/>
          <w:snapToGrid w:val="0"/>
          <w:kern w:val="0"/>
          <w:szCs w:val="21"/>
        </w:rPr>
        <w:t>。所有大于</w:t>
      </w:r>
      <w:r>
        <w:rPr>
          <w:rFonts w:ascii="宋体" w:hAnsi="宋体"/>
          <w:snapToGrid w:val="0"/>
          <w:kern w:val="0"/>
          <w:szCs w:val="21"/>
        </w:rPr>
        <w:t>A3</w:t>
      </w:r>
      <w:r>
        <w:rPr>
          <w:rFonts w:hint="eastAsia" w:ascii="宋体" w:hAnsi="宋体"/>
          <w:snapToGrid w:val="0"/>
          <w:kern w:val="0"/>
          <w:szCs w:val="21"/>
        </w:rPr>
        <w:t>的图纸和文件均应折叠成</w:t>
      </w:r>
      <w:r>
        <w:rPr>
          <w:rFonts w:ascii="宋体" w:hAnsi="宋体"/>
          <w:snapToGrid w:val="0"/>
          <w:kern w:val="0"/>
          <w:szCs w:val="21"/>
        </w:rPr>
        <w:t>A3</w:t>
      </w:r>
      <w:r>
        <w:rPr>
          <w:rFonts w:hint="eastAsia" w:ascii="宋体" w:hAnsi="宋体"/>
          <w:snapToGrid w:val="0"/>
          <w:kern w:val="0"/>
          <w:szCs w:val="21"/>
        </w:rPr>
        <w:t>大小并装订成册后提交买方。图中所有文字，均应英文和中文对照。卖方或卖方供应商的工厂图纸和所有保证数据，样本或类似资料应由卖方或卖方供应商编制，但均应经卖方检查并作为卖方的文件予以提供。</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在工厂图纸资料提交给买方之前，卖方应检查其图纸是否满足合同技术条款规定的要求，假如工厂图纸与合同文件不同，不管是因为工厂实际标准所引起或其它原因，卖方都应在发送的信件中作专门说明。</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所有提交给买方的工厂图纸应附有卖方签字的文字说明、说明工厂图纸已被卖方检查，并已按合同技术条款的规定要求采取适当的措施以适应相邻的工序。</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正式图纸提交后，应尽量避免对其修改。若需进行修改，须得到买方的认可，并由卖方对制造、加工、安装所造成的一切损失负赔偿责任。</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在合同工作完成之前，卖方应提供</w:t>
      </w:r>
      <w:r>
        <w:rPr>
          <w:rFonts w:ascii="宋体" w:hAnsi="宋体"/>
          <w:snapToGrid w:val="0"/>
          <w:kern w:val="0"/>
          <w:szCs w:val="21"/>
        </w:rPr>
        <w:t>1</w:t>
      </w:r>
      <w:r>
        <w:rPr>
          <w:rFonts w:hint="eastAsia" w:ascii="宋体" w:hAnsi="宋体"/>
          <w:snapToGrid w:val="0"/>
          <w:kern w:val="0"/>
          <w:szCs w:val="21"/>
        </w:rPr>
        <w:t>整套符合现场情况，最终定型的结构和设备的永久性图纸，图纸是可复制的透明图。卖方还应提供设计计算书的复印件</w:t>
      </w:r>
      <w:r>
        <w:rPr>
          <w:rFonts w:ascii="宋体" w:hAnsi="宋体"/>
          <w:snapToGrid w:val="0"/>
          <w:kern w:val="0"/>
          <w:szCs w:val="21"/>
        </w:rPr>
        <w:t>2</w:t>
      </w:r>
      <w:r>
        <w:rPr>
          <w:rFonts w:hint="eastAsia" w:ascii="宋体" w:hAnsi="宋体"/>
          <w:snapToGrid w:val="0"/>
          <w:kern w:val="0"/>
          <w:szCs w:val="21"/>
        </w:rPr>
        <w:t>套（其中</w:t>
      </w:r>
      <w:r>
        <w:rPr>
          <w:rFonts w:ascii="宋体" w:hAnsi="宋体"/>
          <w:snapToGrid w:val="0"/>
          <w:kern w:val="0"/>
          <w:szCs w:val="21"/>
        </w:rPr>
        <w:t>1</w:t>
      </w:r>
      <w:r>
        <w:rPr>
          <w:rFonts w:hint="eastAsia" w:ascii="宋体" w:hAnsi="宋体"/>
          <w:snapToGrid w:val="0"/>
          <w:kern w:val="0"/>
          <w:szCs w:val="21"/>
        </w:rPr>
        <w:t>套提供给工程设计单位，</w:t>
      </w:r>
      <w:r>
        <w:rPr>
          <w:rFonts w:ascii="宋体" w:hAnsi="宋体"/>
          <w:snapToGrid w:val="0"/>
          <w:kern w:val="0"/>
          <w:szCs w:val="21"/>
        </w:rPr>
        <w:t>1</w:t>
      </w:r>
      <w:r>
        <w:rPr>
          <w:rFonts w:hint="eastAsia" w:ascii="宋体" w:hAnsi="宋体"/>
          <w:snapToGrid w:val="0"/>
          <w:kern w:val="0"/>
          <w:szCs w:val="21"/>
        </w:rPr>
        <w:t>套提供给买方）。上述永久性图纸应包括提交审查的所有图纸和用户要求提供的用于维修和部件更换的图纸。</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提供的图纸及文件资料均应装订成册的图册，图幅缩成</w:t>
      </w:r>
      <w:r>
        <w:rPr>
          <w:rFonts w:ascii="宋体" w:hAnsi="宋体"/>
          <w:snapToGrid w:val="0"/>
          <w:kern w:val="0"/>
          <w:szCs w:val="21"/>
        </w:rPr>
        <w:t>297mm</w:t>
      </w:r>
      <w:r>
        <w:rPr>
          <w:rFonts w:hint="eastAsia" w:ascii="宋体" w:hAnsi="宋体"/>
          <w:snapToGrid w:val="0"/>
          <w:kern w:val="0"/>
          <w:szCs w:val="21"/>
        </w:rPr>
        <w:t>×</w:t>
      </w:r>
      <w:r>
        <w:rPr>
          <w:rFonts w:ascii="宋体" w:hAnsi="宋体"/>
          <w:snapToGrid w:val="0"/>
          <w:kern w:val="0"/>
          <w:szCs w:val="21"/>
        </w:rPr>
        <w:t>420mm</w:t>
      </w:r>
      <w:r>
        <w:rPr>
          <w:rFonts w:hint="eastAsia" w:ascii="宋体" w:hAnsi="宋体"/>
          <w:snapToGrid w:val="0"/>
          <w:kern w:val="0"/>
          <w:szCs w:val="21"/>
        </w:rPr>
        <w:t>，所有卖方图纸应有标明图纸张数和内容的目录。</w:t>
      </w:r>
    </w:p>
    <w:p>
      <w:pPr>
        <w:adjustRightInd w:val="0"/>
        <w:snapToGrid w:val="0"/>
        <w:spacing w:line="400" w:lineRule="exact"/>
        <w:ind w:firstLine="420" w:firstLineChars="200"/>
        <w:rPr>
          <w:rFonts w:hint="eastAsia" w:ascii="宋体" w:hAnsi="宋体"/>
          <w:snapToGrid w:val="0"/>
          <w:kern w:val="0"/>
          <w:szCs w:val="21"/>
        </w:rPr>
      </w:pPr>
      <w:bookmarkStart w:id="206" w:name="_Toc31791939"/>
      <w:r>
        <w:rPr>
          <w:rFonts w:hint="eastAsia" w:ascii="宋体" w:hAnsi="宋体"/>
          <w:snapToGrid w:val="0"/>
          <w:kern w:val="0"/>
          <w:szCs w:val="21"/>
        </w:rPr>
        <w:t>3.16.2  安装、运行和维护说明书</w:t>
      </w:r>
      <w:bookmarkEnd w:id="206"/>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1</w:t>
      </w:r>
      <w:r>
        <w:rPr>
          <w:rFonts w:hint="eastAsia" w:ascii="宋体" w:hAnsi="宋体"/>
          <w:snapToGrid w:val="0"/>
          <w:kern w:val="0"/>
          <w:szCs w:val="21"/>
        </w:rPr>
        <w:t>）概述</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本节内容包括对设备安装、运行和维护说明书的编制和提交的要求，卖方提供的所有设备，都要提供此类说明书。</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安装、运行和维护说明书应符合本节要求。卖方的供应商的说明书应经卖方检查，并作为卖方的说明书一起提交。运行和维护说明书应与所提供的设备相适应。说明书应采用英文和中文。</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2</w:t>
      </w:r>
      <w:r>
        <w:rPr>
          <w:rFonts w:hint="eastAsia" w:ascii="宋体" w:hAnsi="宋体"/>
          <w:snapToGrid w:val="0"/>
          <w:kern w:val="0"/>
          <w:szCs w:val="21"/>
        </w:rPr>
        <w:t>）说明书内容</w:t>
      </w:r>
    </w:p>
    <w:p>
      <w:pPr>
        <w:adjustRightInd w:val="0"/>
        <w:snapToGrid w:val="0"/>
        <w:spacing w:line="400" w:lineRule="exact"/>
        <w:ind w:firstLine="420" w:firstLineChars="200"/>
        <w:rPr>
          <w:rFonts w:ascii="宋体" w:hAnsi="宋体"/>
          <w:snapToGrid w:val="0"/>
          <w:kern w:val="0"/>
          <w:szCs w:val="21"/>
        </w:rPr>
      </w:pPr>
      <w:r>
        <w:rPr>
          <w:rFonts w:ascii="宋体" w:hAnsi="宋体"/>
          <w:snapToGrid w:val="0"/>
          <w:kern w:val="0"/>
          <w:szCs w:val="21"/>
        </w:rPr>
        <w:t>1</w:t>
      </w:r>
      <w:r>
        <w:rPr>
          <w:rFonts w:hint="eastAsia" w:ascii="宋体" w:hAnsi="宋体"/>
          <w:snapToGrid w:val="0"/>
          <w:kern w:val="0"/>
          <w:szCs w:val="21"/>
        </w:rPr>
        <w:t>）说明书应由封面，扉页、目录、插页和资料组成。资料内容包括概述、安装、运行、保养、故障检修、大修、部件清单和推荐的备品备件清单及附录。</w:t>
      </w:r>
    </w:p>
    <w:p>
      <w:pPr>
        <w:adjustRightInd w:val="0"/>
        <w:snapToGrid w:val="0"/>
        <w:spacing w:line="400" w:lineRule="exact"/>
        <w:ind w:firstLine="420" w:firstLineChars="200"/>
        <w:rPr>
          <w:rFonts w:ascii="宋体" w:hAnsi="宋体"/>
          <w:snapToGrid w:val="0"/>
          <w:kern w:val="0"/>
          <w:szCs w:val="21"/>
        </w:rPr>
      </w:pPr>
      <w:r>
        <w:rPr>
          <w:rFonts w:ascii="宋体" w:hAnsi="宋体"/>
          <w:snapToGrid w:val="0"/>
          <w:kern w:val="0"/>
          <w:szCs w:val="21"/>
        </w:rPr>
        <w:t>2</w:t>
      </w:r>
      <w:r>
        <w:rPr>
          <w:rFonts w:hint="eastAsia" w:ascii="宋体" w:hAnsi="宋体"/>
          <w:snapToGrid w:val="0"/>
          <w:kern w:val="0"/>
          <w:szCs w:val="21"/>
        </w:rPr>
        <w:t>）扉页应包括设备的名称和功能、制造商的标志号以及买方的条款号和标题。</w:t>
      </w:r>
    </w:p>
    <w:p>
      <w:pPr>
        <w:adjustRightInd w:val="0"/>
        <w:snapToGrid w:val="0"/>
        <w:spacing w:line="400" w:lineRule="exact"/>
        <w:ind w:firstLine="420" w:firstLineChars="200"/>
        <w:rPr>
          <w:rFonts w:ascii="宋体" w:hAnsi="宋体"/>
          <w:snapToGrid w:val="0"/>
          <w:kern w:val="0"/>
          <w:szCs w:val="21"/>
        </w:rPr>
      </w:pPr>
      <w:r>
        <w:rPr>
          <w:rFonts w:ascii="宋体" w:hAnsi="宋体"/>
          <w:snapToGrid w:val="0"/>
          <w:kern w:val="0"/>
          <w:szCs w:val="21"/>
        </w:rPr>
        <w:t>3</w:t>
      </w:r>
      <w:r>
        <w:rPr>
          <w:rFonts w:hint="eastAsia" w:ascii="宋体" w:hAnsi="宋体"/>
          <w:snapToGrid w:val="0"/>
          <w:kern w:val="0"/>
          <w:szCs w:val="21"/>
        </w:rPr>
        <w:t>）目录应列出说明书的所有章节和小节标题，带有每章节开头的参考页码和包括的图纸清单。</w:t>
      </w:r>
    </w:p>
    <w:p>
      <w:pPr>
        <w:adjustRightInd w:val="0"/>
        <w:snapToGrid w:val="0"/>
        <w:spacing w:line="400" w:lineRule="exact"/>
        <w:ind w:firstLine="420" w:firstLineChars="200"/>
        <w:rPr>
          <w:rFonts w:ascii="宋体" w:hAnsi="宋体"/>
          <w:snapToGrid w:val="0"/>
          <w:kern w:val="0"/>
          <w:szCs w:val="21"/>
        </w:rPr>
      </w:pPr>
      <w:r>
        <w:rPr>
          <w:rFonts w:ascii="宋体" w:hAnsi="宋体"/>
          <w:snapToGrid w:val="0"/>
          <w:kern w:val="0"/>
          <w:szCs w:val="21"/>
        </w:rPr>
        <w:t>4</w:t>
      </w:r>
      <w:r>
        <w:rPr>
          <w:rFonts w:hint="eastAsia" w:ascii="宋体" w:hAnsi="宋体"/>
          <w:snapToGrid w:val="0"/>
          <w:kern w:val="0"/>
          <w:szCs w:val="21"/>
        </w:rPr>
        <w:t>）插页应是说明书所描述的设备识别插图。</w:t>
      </w:r>
    </w:p>
    <w:p>
      <w:pPr>
        <w:adjustRightInd w:val="0"/>
        <w:snapToGrid w:val="0"/>
        <w:spacing w:line="400" w:lineRule="exact"/>
        <w:ind w:firstLine="420" w:firstLineChars="200"/>
        <w:rPr>
          <w:rFonts w:ascii="宋体" w:hAnsi="宋体"/>
          <w:snapToGrid w:val="0"/>
          <w:kern w:val="0"/>
          <w:szCs w:val="21"/>
        </w:rPr>
      </w:pPr>
      <w:r>
        <w:rPr>
          <w:rFonts w:ascii="宋体" w:hAnsi="宋体"/>
          <w:snapToGrid w:val="0"/>
          <w:kern w:val="0"/>
          <w:szCs w:val="21"/>
        </w:rPr>
        <w:t>5</w:t>
      </w:r>
      <w:r>
        <w:rPr>
          <w:rFonts w:hint="eastAsia" w:ascii="宋体" w:hAnsi="宋体"/>
          <w:snapToGrid w:val="0"/>
          <w:kern w:val="0"/>
          <w:szCs w:val="21"/>
        </w:rPr>
        <w:t>）叙述的资料应由图纸、图表以及设备的外形及包括主要总装件和组装件功能的描述。</w:t>
      </w:r>
    </w:p>
    <w:p>
      <w:pPr>
        <w:adjustRightInd w:val="0"/>
        <w:snapToGrid w:val="0"/>
        <w:spacing w:line="400" w:lineRule="exact"/>
        <w:ind w:firstLine="420" w:firstLineChars="200"/>
        <w:rPr>
          <w:rFonts w:ascii="宋体" w:hAnsi="宋体"/>
          <w:snapToGrid w:val="0"/>
          <w:kern w:val="0"/>
          <w:szCs w:val="21"/>
        </w:rPr>
      </w:pPr>
      <w:r>
        <w:rPr>
          <w:rFonts w:ascii="宋体" w:hAnsi="宋体"/>
          <w:snapToGrid w:val="0"/>
          <w:kern w:val="0"/>
          <w:szCs w:val="21"/>
        </w:rPr>
        <w:t>6</w:t>
      </w:r>
      <w:r>
        <w:rPr>
          <w:rFonts w:hint="eastAsia" w:ascii="宋体" w:hAnsi="宋体"/>
          <w:snapToGrid w:val="0"/>
          <w:kern w:val="0"/>
          <w:szCs w:val="21"/>
        </w:rPr>
        <w:t>）安装资料应包括初始安装的检查、校准及运行准备。</w:t>
      </w:r>
    </w:p>
    <w:p>
      <w:pPr>
        <w:adjustRightInd w:val="0"/>
        <w:snapToGrid w:val="0"/>
        <w:spacing w:line="400" w:lineRule="exact"/>
        <w:ind w:firstLine="420" w:firstLineChars="200"/>
        <w:rPr>
          <w:rFonts w:ascii="宋体" w:hAnsi="宋体"/>
          <w:snapToGrid w:val="0"/>
          <w:kern w:val="0"/>
          <w:szCs w:val="21"/>
        </w:rPr>
      </w:pPr>
      <w:r>
        <w:rPr>
          <w:rFonts w:ascii="宋体" w:hAnsi="宋体"/>
          <w:snapToGrid w:val="0"/>
          <w:kern w:val="0"/>
          <w:szCs w:val="21"/>
        </w:rPr>
        <w:t>7</w:t>
      </w:r>
      <w:r>
        <w:rPr>
          <w:rFonts w:hint="eastAsia" w:ascii="宋体" w:hAnsi="宋体"/>
          <w:snapToGrid w:val="0"/>
          <w:kern w:val="0"/>
          <w:szCs w:val="21"/>
        </w:rPr>
        <w:t>）维护资料应包括供设备正常运行时的检查、清扫。维修所要求的专用工具清单应包括在维修资料中。</w:t>
      </w:r>
    </w:p>
    <w:p>
      <w:pPr>
        <w:adjustRightInd w:val="0"/>
        <w:snapToGrid w:val="0"/>
        <w:spacing w:line="400" w:lineRule="exact"/>
        <w:ind w:firstLine="420" w:firstLineChars="200"/>
        <w:rPr>
          <w:rFonts w:ascii="宋体" w:hAnsi="宋体"/>
          <w:snapToGrid w:val="0"/>
          <w:kern w:val="0"/>
          <w:szCs w:val="21"/>
        </w:rPr>
      </w:pPr>
      <w:r>
        <w:rPr>
          <w:rFonts w:ascii="宋体" w:hAnsi="宋体"/>
          <w:snapToGrid w:val="0"/>
          <w:kern w:val="0"/>
          <w:szCs w:val="21"/>
        </w:rPr>
        <w:t>8</w:t>
      </w:r>
      <w:r>
        <w:rPr>
          <w:rFonts w:hint="eastAsia" w:ascii="宋体" w:hAnsi="宋体"/>
          <w:snapToGrid w:val="0"/>
          <w:kern w:val="0"/>
          <w:szCs w:val="21"/>
        </w:rPr>
        <w:t>）整体部件的清单和推荐的备件清单，应提供所有必需的资料，包括识别部件用的部件编号和标号一览表。从其它制造商处得到的部件或组件，应标上制造商的名字及部件号，部件数量、尺寸、容量或其它特性。</w:t>
      </w:r>
    </w:p>
    <w:p>
      <w:pPr>
        <w:adjustRightInd w:val="0"/>
        <w:snapToGrid w:val="0"/>
        <w:spacing w:line="400" w:lineRule="exact"/>
        <w:ind w:firstLine="420" w:firstLineChars="200"/>
        <w:rPr>
          <w:rFonts w:ascii="宋体" w:hAnsi="宋体"/>
          <w:snapToGrid w:val="0"/>
          <w:kern w:val="0"/>
          <w:szCs w:val="21"/>
        </w:rPr>
      </w:pPr>
      <w:r>
        <w:rPr>
          <w:rFonts w:ascii="宋体" w:hAnsi="宋体"/>
          <w:snapToGrid w:val="0"/>
          <w:kern w:val="0"/>
          <w:szCs w:val="21"/>
        </w:rPr>
        <w:t>9</w:t>
      </w:r>
      <w:r>
        <w:rPr>
          <w:rFonts w:hint="eastAsia" w:ascii="宋体" w:hAnsi="宋体"/>
          <w:snapToGrid w:val="0"/>
          <w:kern w:val="0"/>
          <w:szCs w:val="21"/>
        </w:rPr>
        <w:t>）附录应包括安全保护的全部要求，列出定期维护的项目、维护种类、计划性维修等以及参考资料或手册、术语汇编、试验报告的复印件，及其它在上述条款中未规定，但又是需要呈送的有关材料。</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此外还应提交设备在内陆运输和工地搬运、存放和维护的详细说明，说明书中应有解释、图示、尺寸和重量。并包括：</w:t>
      </w:r>
    </w:p>
    <w:p>
      <w:pPr>
        <w:adjustRightInd w:val="0"/>
        <w:snapToGrid w:val="0"/>
        <w:spacing w:line="400" w:lineRule="exact"/>
        <w:ind w:firstLine="420" w:firstLineChars="200"/>
        <w:rPr>
          <w:rFonts w:ascii="宋体" w:hAnsi="宋体"/>
          <w:snapToGrid w:val="0"/>
          <w:kern w:val="0"/>
          <w:szCs w:val="21"/>
        </w:rPr>
      </w:pPr>
      <w:r>
        <w:rPr>
          <w:rFonts w:ascii="宋体" w:hAnsi="宋体"/>
          <w:snapToGrid w:val="0"/>
          <w:kern w:val="0"/>
          <w:szCs w:val="21"/>
        </w:rPr>
        <w:t>1</w:t>
      </w:r>
      <w:r>
        <w:rPr>
          <w:rFonts w:hint="eastAsia" w:ascii="宋体" w:hAnsi="宋体"/>
          <w:snapToGrid w:val="0"/>
          <w:kern w:val="0"/>
          <w:szCs w:val="21"/>
        </w:rPr>
        <w:t>）户外，户内和保温存放的空间要求。</w:t>
      </w:r>
    </w:p>
    <w:p>
      <w:pPr>
        <w:adjustRightInd w:val="0"/>
        <w:snapToGrid w:val="0"/>
        <w:spacing w:line="400" w:lineRule="exact"/>
        <w:ind w:firstLine="420" w:firstLineChars="200"/>
        <w:rPr>
          <w:rFonts w:ascii="宋体" w:hAnsi="宋体"/>
          <w:snapToGrid w:val="0"/>
          <w:kern w:val="0"/>
          <w:szCs w:val="21"/>
        </w:rPr>
      </w:pPr>
      <w:r>
        <w:rPr>
          <w:rFonts w:ascii="宋体" w:hAnsi="宋体"/>
          <w:snapToGrid w:val="0"/>
          <w:kern w:val="0"/>
          <w:szCs w:val="21"/>
        </w:rPr>
        <w:t>2</w:t>
      </w:r>
      <w:r>
        <w:rPr>
          <w:rFonts w:hint="eastAsia" w:ascii="宋体" w:hAnsi="宋体"/>
          <w:snapToGrid w:val="0"/>
          <w:kern w:val="0"/>
          <w:szCs w:val="21"/>
        </w:rPr>
        <w:t>）设备的装卸、放置和堆放时应遵守的规定。</w:t>
      </w:r>
    </w:p>
    <w:p>
      <w:pPr>
        <w:adjustRightInd w:val="0"/>
        <w:snapToGrid w:val="0"/>
        <w:spacing w:line="400" w:lineRule="exact"/>
        <w:ind w:firstLine="420" w:firstLineChars="200"/>
        <w:rPr>
          <w:rFonts w:ascii="宋体" w:hAnsi="宋体"/>
          <w:snapToGrid w:val="0"/>
          <w:kern w:val="0"/>
          <w:szCs w:val="21"/>
        </w:rPr>
      </w:pPr>
      <w:r>
        <w:rPr>
          <w:rFonts w:ascii="宋体" w:hAnsi="宋体"/>
          <w:snapToGrid w:val="0"/>
          <w:kern w:val="0"/>
          <w:szCs w:val="21"/>
        </w:rPr>
        <w:t>3</w:t>
      </w:r>
      <w:r>
        <w:rPr>
          <w:rFonts w:hint="eastAsia" w:ascii="宋体" w:hAnsi="宋体"/>
          <w:snapToGrid w:val="0"/>
          <w:kern w:val="0"/>
          <w:szCs w:val="21"/>
        </w:rPr>
        <w:t>）仓储检查和维护。</w:t>
      </w:r>
    </w:p>
    <w:p>
      <w:pPr>
        <w:adjustRightInd w:val="0"/>
        <w:snapToGrid w:val="0"/>
        <w:spacing w:line="400" w:lineRule="exact"/>
        <w:ind w:firstLine="420" w:firstLineChars="200"/>
        <w:rPr>
          <w:rFonts w:ascii="宋体" w:hAnsi="宋体"/>
          <w:snapToGrid w:val="0"/>
          <w:kern w:val="0"/>
          <w:szCs w:val="21"/>
        </w:rPr>
      </w:pPr>
      <w:r>
        <w:rPr>
          <w:rFonts w:ascii="宋体" w:hAnsi="宋体"/>
          <w:snapToGrid w:val="0"/>
          <w:kern w:val="0"/>
          <w:szCs w:val="21"/>
        </w:rPr>
        <w:t>4</w:t>
      </w:r>
      <w:r>
        <w:rPr>
          <w:rFonts w:hint="eastAsia" w:ascii="宋体" w:hAnsi="宋体"/>
          <w:snapToGrid w:val="0"/>
          <w:kern w:val="0"/>
          <w:szCs w:val="21"/>
        </w:rPr>
        <w:t>）防护方式的采用。</w:t>
      </w:r>
    </w:p>
    <w:p>
      <w:pPr>
        <w:adjustRightInd w:val="0"/>
        <w:snapToGrid w:val="0"/>
        <w:spacing w:line="400" w:lineRule="exact"/>
        <w:ind w:firstLine="420" w:firstLineChars="200"/>
        <w:rPr>
          <w:rFonts w:hint="eastAsia" w:ascii="宋体" w:hAnsi="宋体"/>
          <w:snapToGrid w:val="0"/>
          <w:kern w:val="0"/>
          <w:szCs w:val="21"/>
        </w:rPr>
      </w:pPr>
      <w:bookmarkStart w:id="207" w:name="_Toc31791940"/>
      <w:r>
        <w:rPr>
          <w:rFonts w:hint="eastAsia" w:ascii="宋体" w:hAnsi="宋体"/>
          <w:snapToGrid w:val="0"/>
          <w:kern w:val="0"/>
          <w:szCs w:val="21"/>
        </w:rPr>
        <w:t>3.16.3  图纸和文件提交时间表</w:t>
      </w:r>
      <w:bookmarkEnd w:id="207"/>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如果专用技术条款中未做具体要求时，卖方应按下列要求执行；</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合同生效后</w:t>
      </w:r>
      <w:r>
        <w:rPr>
          <w:rFonts w:ascii="宋体" w:hAnsi="宋体"/>
          <w:snapToGrid w:val="0"/>
          <w:kern w:val="0"/>
          <w:szCs w:val="21"/>
        </w:rPr>
        <w:t>21</w:t>
      </w:r>
      <w:r>
        <w:rPr>
          <w:rFonts w:hint="eastAsia" w:ascii="宋体" w:hAnsi="宋体"/>
          <w:snapToGrid w:val="0"/>
          <w:kern w:val="0"/>
          <w:szCs w:val="21"/>
        </w:rPr>
        <w:t>天内，卖方应提供给买方</w:t>
      </w:r>
      <w:r>
        <w:rPr>
          <w:rFonts w:ascii="宋体" w:hAnsi="宋体"/>
          <w:snapToGrid w:val="0"/>
          <w:kern w:val="0"/>
          <w:szCs w:val="21"/>
        </w:rPr>
        <w:t>5</w:t>
      </w:r>
      <w:r>
        <w:rPr>
          <w:rFonts w:hint="eastAsia" w:ascii="宋体" w:hAnsi="宋体"/>
          <w:snapToGrid w:val="0"/>
          <w:kern w:val="0"/>
          <w:szCs w:val="21"/>
        </w:rPr>
        <w:t>份全部工厂图纸和安装、运行维护说明书的提交时间表，对应提交的有关合同产品的每份图纸都应列入清单，并标明提交时间。时间表应明确图纸提交次序和资料的完整计划，应满足合同交货期和电站设计的需要。时间表需要重新修改时，卖方应及时地通知买方并对修改的原因作详细说明。卖方的图纸和文件提交送审时间，不许超过规定。卖方提供的图纸和资料清单见专用技术条款相关附件。</w:t>
      </w:r>
    </w:p>
    <w:p>
      <w:pPr>
        <w:adjustRightInd w:val="0"/>
        <w:snapToGrid w:val="0"/>
        <w:spacing w:line="400" w:lineRule="exact"/>
        <w:ind w:firstLine="420" w:firstLineChars="200"/>
        <w:rPr>
          <w:rFonts w:hint="eastAsia" w:ascii="宋体" w:hAnsi="宋体"/>
          <w:snapToGrid w:val="0"/>
          <w:kern w:val="0"/>
          <w:szCs w:val="21"/>
        </w:rPr>
      </w:pPr>
      <w:bookmarkStart w:id="208" w:name="_Toc31791941"/>
      <w:r>
        <w:rPr>
          <w:rFonts w:hint="eastAsia" w:ascii="宋体" w:hAnsi="宋体"/>
          <w:snapToGrid w:val="0"/>
          <w:kern w:val="0"/>
          <w:szCs w:val="21"/>
        </w:rPr>
        <w:t>3.16.4  图纸和文件的审批</w:t>
      </w:r>
      <w:bookmarkEnd w:id="208"/>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1</w:t>
      </w:r>
      <w:r>
        <w:rPr>
          <w:rFonts w:hint="eastAsia" w:ascii="宋体" w:hAnsi="宋体"/>
          <w:snapToGrid w:val="0"/>
          <w:kern w:val="0"/>
          <w:szCs w:val="21"/>
        </w:rPr>
        <w:t>）如果专用技术条款中未做具体要求时，卖方应按下列要求执行；</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2</w:t>
      </w:r>
      <w:r>
        <w:rPr>
          <w:rFonts w:hint="eastAsia" w:ascii="宋体" w:hAnsi="宋体"/>
          <w:snapToGrid w:val="0"/>
          <w:kern w:val="0"/>
          <w:szCs w:val="21"/>
        </w:rPr>
        <w:t>）买方负责对所有合同设备图纸和技术文件的审批工作，但不负责审查设备的结构设计与工艺。所有工厂图纸、安装运行维护说明书，使用的设计、制造标准等技术文件均需递交买方审批。所有提供审查的图纸或文件应盖有“送审”章，并应有清洁的空白处，便于标记和评定。寄给买方</w:t>
      </w:r>
      <w:r>
        <w:rPr>
          <w:rFonts w:ascii="宋体" w:hAnsi="宋体"/>
          <w:snapToGrid w:val="0"/>
          <w:kern w:val="0"/>
          <w:szCs w:val="21"/>
        </w:rPr>
        <w:t>3</w:t>
      </w:r>
      <w:r>
        <w:rPr>
          <w:rFonts w:hint="eastAsia" w:ascii="宋体" w:hAnsi="宋体"/>
          <w:snapToGrid w:val="0"/>
          <w:kern w:val="0"/>
          <w:szCs w:val="21"/>
        </w:rPr>
        <w:t>份，同时寄给设计单位</w:t>
      </w:r>
      <w:r>
        <w:rPr>
          <w:rFonts w:ascii="宋体" w:hAnsi="宋体"/>
          <w:snapToGrid w:val="0"/>
          <w:kern w:val="0"/>
          <w:szCs w:val="21"/>
        </w:rPr>
        <w:t>2</w:t>
      </w:r>
      <w:r>
        <w:rPr>
          <w:rFonts w:hint="eastAsia" w:ascii="宋体" w:hAnsi="宋体"/>
          <w:snapToGrid w:val="0"/>
          <w:kern w:val="0"/>
          <w:szCs w:val="21"/>
        </w:rPr>
        <w:t>份。</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3</w:t>
      </w:r>
      <w:r>
        <w:rPr>
          <w:rFonts w:hint="eastAsia" w:ascii="宋体" w:hAnsi="宋体"/>
          <w:snapToGrid w:val="0"/>
          <w:kern w:val="0"/>
          <w:szCs w:val="21"/>
        </w:rPr>
        <w:t>）买方将在收到送审图纸后</w:t>
      </w:r>
      <w:r>
        <w:rPr>
          <w:rFonts w:ascii="宋体" w:hAnsi="宋体"/>
          <w:snapToGrid w:val="0"/>
          <w:kern w:val="0"/>
          <w:szCs w:val="21"/>
        </w:rPr>
        <w:t>28</w:t>
      </w:r>
      <w:r>
        <w:rPr>
          <w:rFonts w:hint="eastAsia" w:ascii="宋体" w:hAnsi="宋体"/>
          <w:snapToGrid w:val="0"/>
          <w:kern w:val="0"/>
          <w:szCs w:val="21"/>
        </w:rPr>
        <w:t>天内审查完并回复。</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4</w:t>
      </w:r>
      <w:r>
        <w:rPr>
          <w:rFonts w:hint="eastAsia" w:ascii="宋体" w:hAnsi="宋体"/>
          <w:snapToGrid w:val="0"/>
          <w:kern w:val="0"/>
          <w:szCs w:val="21"/>
        </w:rPr>
        <w:t>）买方仅对图纸和文件进行原则性审查。对不符合合同条款或任何性质的错误和疏忽，图纸或说明中的偏差，或由此偏差而可能产生的与其它产品的矛盾，均应由卖方负责。</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5</w:t>
      </w:r>
      <w:r>
        <w:rPr>
          <w:rFonts w:hint="eastAsia" w:ascii="宋体" w:hAnsi="宋体"/>
          <w:snapToGrid w:val="0"/>
          <w:kern w:val="0"/>
          <w:szCs w:val="21"/>
        </w:rPr>
        <w:t>）如果在买方批准后，卖方因修改设备或工艺需再修改图纸或文件（此修改需买方批准，且卖方对由此造成的设备加工、安装及其他相关的部分的协调、质量及损失负责），则在修改完成后按相同程序将新的图纸或文件提交买方审查。</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6</w:t>
      </w:r>
      <w:r>
        <w:rPr>
          <w:rFonts w:hint="eastAsia" w:ascii="宋体" w:hAnsi="宋体"/>
          <w:snapToGrid w:val="0"/>
          <w:kern w:val="0"/>
          <w:szCs w:val="21"/>
        </w:rPr>
        <w:t>）卖方提交的图纸及说明书</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卖方必须及时向买方和工程设计单位提供与本合同有关的图纸、资料；提供时间应在合同签订后</w:t>
      </w:r>
      <w:r>
        <w:rPr>
          <w:rFonts w:ascii="宋体" w:hAnsi="宋体"/>
          <w:snapToGrid w:val="0"/>
          <w:kern w:val="0"/>
          <w:szCs w:val="21"/>
        </w:rPr>
        <w:t>28</w:t>
      </w:r>
      <w:r>
        <w:rPr>
          <w:rFonts w:hint="eastAsia" w:ascii="宋体" w:hAnsi="宋体"/>
          <w:snapToGrid w:val="0"/>
          <w:kern w:val="0"/>
          <w:szCs w:val="21"/>
        </w:rPr>
        <w:t>天内。图纸和资料应满足买方和工程设计单位的需要。</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7</w:t>
      </w:r>
      <w:r>
        <w:rPr>
          <w:rFonts w:hint="eastAsia" w:ascii="宋体" w:hAnsi="宋体"/>
          <w:snapToGrid w:val="0"/>
          <w:kern w:val="0"/>
          <w:szCs w:val="21"/>
        </w:rPr>
        <w:t>）出厂资料</w:t>
      </w:r>
    </w:p>
    <w:p>
      <w:pPr>
        <w:adjustRightInd w:val="0"/>
        <w:snapToGrid w:val="0"/>
        <w:spacing w:line="400" w:lineRule="exact"/>
        <w:ind w:firstLine="420" w:firstLineChars="200"/>
        <w:rPr>
          <w:rFonts w:ascii="宋体" w:hAnsi="宋体"/>
          <w:snapToGrid w:val="0"/>
          <w:kern w:val="0"/>
          <w:szCs w:val="21"/>
        </w:rPr>
      </w:pPr>
      <w:r>
        <w:rPr>
          <w:rFonts w:ascii="宋体" w:hAnsi="宋体"/>
          <w:snapToGrid w:val="0"/>
          <w:kern w:val="0"/>
          <w:szCs w:val="21"/>
        </w:rPr>
        <w:t>1</w:t>
      </w:r>
      <w:r>
        <w:rPr>
          <w:rFonts w:hint="eastAsia" w:ascii="宋体" w:hAnsi="宋体"/>
          <w:snapToGrid w:val="0"/>
          <w:kern w:val="0"/>
          <w:szCs w:val="21"/>
        </w:rPr>
        <w:t>）设备装运前</w:t>
      </w:r>
      <w:r>
        <w:rPr>
          <w:rFonts w:ascii="宋体" w:hAnsi="宋体"/>
          <w:snapToGrid w:val="0"/>
          <w:kern w:val="0"/>
          <w:szCs w:val="21"/>
        </w:rPr>
        <w:t>60</w:t>
      </w:r>
      <w:r>
        <w:rPr>
          <w:rFonts w:hint="eastAsia" w:ascii="宋体" w:hAnsi="宋体"/>
          <w:snapToGrid w:val="0"/>
          <w:kern w:val="0"/>
          <w:szCs w:val="21"/>
        </w:rPr>
        <w:t>天前，合同设备的安装、运行、维护说明书、安装图、原理及端子接线图，应提交给买方</w:t>
      </w:r>
      <w:r>
        <w:rPr>
          <w:rFonts w:ascii="宋体" w:hAnsi="宋体"/>
          <w:snapToGrid w:val="0"/>
          <w:kern w:val="0"/>
          <w:szCs w:val="21"/>
        </w:rPr>
        <w:t>10</w:t>
      </w:r>
      <w:r>
        <w:rPr>
          <w:rFonts w:hint="eastAsia" w:ascii="宋体" w:hAnsi="宋体"/>
          <w:snapToGrid w:val="0"/>
          <w:kern w:val="0"/>
          <w:szCs w:val="21"/>
        </w:rPr>
        <w:t>份（其中设计单位</w:t>
      </w:r>
      <w:r>
        <w:rPr>
          <w:rFonts w:ascii="宋体" w:hAnsi="宋体"/>
          <w:snapToGrid w:val="0"/>
          <w:kern w:val="0"/>
          <w:szCs w:val="21"/>
        </w:rPr>
        <w:t>2</w:t>
      </w:r>
      <w:r>
        <w:rPr>
          <w:rFonts w:hint="eastAsia" w:ascii="宋体" w:hAnsi="宋体"/>
          <w:snapToGrid w:val="0"/>
          <w:kern w:val="0"/>
          <w:szCs w:val="21"/>
        </w:rPr>
        <w:t>份）；</w:t>
      </w:r>
    </w:p>
    <w:p>
      <w:pPr>
        <w:adjustRightInd w:val="0"/>
        <w:snapToGrid w:val="0"/>
        <w:spacing w:line="400" w:lineRule="exact"/>
        <w:ind w:firstLine="420" w:firstLineChars="200"/>
        <w:rPr>
          <w:rFonts w:ascii="宋体" w:hAnsi="宋体"/>
          <w:snapToGrid w:val="0"/>
          <w:kern w:val="0"/>
          <w:szCs w:val="21"/>
        </w:rPr>
      </w:pPr>
      <w:r>
        <w:rPr>
          <w:rFonts w:ascii="宋体" w:hAnsi="宋体"/>
          <w:snapToGrid w:val="0"/>
          <w:kern w:val="0"/>
          <w:szCs w:val="21"/>
        </w:rPr>
        <w:t>2</w:t>
      </w:r>
      <w:r>
        <w:rPr>
          <w:rFonts w:hint="eastAsia" w:ascii="宋体" w:hAnsi="宋体"/>
          <w:snapToGrid w:val="0"/>
          <w:kern w:val="0"/>
          <w:szCs w:val="21"/>
        </w:rPr>
        <w:t>）设备的产品合格证；</w:t>
      </w:r>
    </w:p>
    <w:p>
      <w:pPr>
        <w:adjustRightInd w:val="0"/>
        <w:snapToGrid w:val="0"/>
        <w:spacing w:line="400" w:lineRule="exact"/>
        <w:ind w:firstLine="420" w:firstLineChars="200"/>
        <w:rPr>
          <w:rFonts w:ascii="宋体" w:hAnsi="宋体"/>
          <w:snapToGrid w:val="0"/>
          <w:kern w:val="0"/>
          <w:szCs w:val="21"/>
        </w:rPr>
      </w:pPr>
      <w:r>
        <w:rPr>
          <w:rFonts w:ascii="宋体" w:hAnsi="宋体"/>
          <w:snapToGrid w:val="0"/>
          <w:kern w:val="0"/>
          <w:szCs w:val="21"/>
        </w:rPr>
        <w:t>3</w:t>
      </w:r>
      <w:r>
        <w:rPr>
          <w:rFonts w:hint="eastAsia" w:ascii="宋体" w:hAnsi="宋体"/>
          <w:snapToGrid w:val="0"/>
          <w:kern w:val="0"/>
          <w:szCs w:val="21"/>
        </w:rPr>
        <w:t>）设备的出厂试验报告；</w:t>
      </w:r>
    </w:p>
    <w:p>
      <w:pPr>
        <w:adjustRightInd w:val="0"/>
        <w:snapToGrid w:val="0"/>
        <w:spacing w:line="400" w:lineRule="exact"/>
        <w:ind w:firstLine="420" w:firstLineChars="200"/>
        <w:rPr>
          <w:rFonts w:ascii="宋体" w:hAnsi="宋体"/>
          <w:snapToGrid w:val="0"/>
          <w:kern w:val="0"/>
          <w:szCs w:val="21"/>
        </w:rPr>
      </w:pPr>
      <w:r>
        <w:rPr>
          <w:rFonts w:ascii="宋体" w:hAnsi="宋体"/>
          <w:snapToGrid w:val="0"/>
          <w:kern w:val="0"/>
          <w:szCs w:val="21"/>
        </w:rPr>
        <w:t>4</w:t>
      </w:r>
      <w:r>
        <w:rPr>
          <w:rFonts w:hint="eastAsia" w:ascii="宋体" w:hAnsi="宋体"/>
          <w:snapToGrid w:val="0"/>
          <w:kern w:val="0"/>
          <w:szCs w:val="21"/>
        </w:rPr>
        <w:t>）备品、备件一览表；</w:t>
      </w:r>
    </w:p>
    <w:p>
      <w:pPr>
        <w:adjustRightInd w:val="0"/>
        <w:snapToGrid w:val="0"/>
        <w:spacing w:line="400" w:lineRule="exact"/>
        <w:ind w:firstLine="420" w:firstLineChars="200"/>
        <w:rPr>
          <w:rFonts w:ascii="宋体" w:hAnsi="宋体"/>
          <w:snapToGrid w:val="0"/>
          <w:kern w:val="0"/>
          <w:szCs w:val="21"/>
        </w:rPr>
      </w:pPr>
      <w:r>
        <w:rPr>
          <w:rFonts w:ascii="宋体" w:hAnsi="宋体"/>
          <w:snapToGrid w:val="0"/>
          <w:kern w:val="0"/>
          <w:szCs w:val="21"/>
        </w:rPr>
        <w:t>5</w:t>
      </w:r>
      <w:r>
        <w:rPr>
          <w:rFonts w:hint="eastAsia" w:ascii="宋体" w:hAnsi="宋体"/>
          <w:snapToGrid w:val="0"/>
          <w:kern w:val="0"/>
          <w:szCs w:val="21"/>
        </w:rPr>
        <w:t>）装箱清单。</w:t>
      </w:r>
    </w:p>
    <w:p>
      <w:pPr>
        <w:adjustRightInd w:val="0"/>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8</w:t>
      </w:r>
      <w:r>
        <w:rPr>
          <w:rFonts w:hint="eastAsia" w:ascii="宋体" w:hAnsi="宋体"/>
          <w:snapToGrid w:val="0"/>
          <w:kern w:val="0"/>
          <w:szCs w:val="21"/>
        </w:rPr>
        <w:t>）投标人需提交的图纸资料</w:t>
      </w:r>
    </w:p>
    <w:p>
      <w:pPr>
        <w:spacing w:line="400" w:lineRule="exact"/>
        <w:ind w:firstLine="420" w:firstLineChars="200"/>
        <w:rPr>
          <w:rFonts w:ascii="宋体" w:hAnsi="宋体" w:cs="宋体"/>
          <w:b/>
          <w:bCs/>
          <w:position w:val="-3"/>
          <w:sz w:val="24"/>
        </w:rPr>
      </w:pPr>
      <w:r>
        <w:rPr>
          <w:rFonts w:hint="eastAsia" w:ascii="宋体" w:hAnsi="宋体"/>
          <w:snapToGrid w:val="0"/>
          <w:kern w:val="0"/>
          <w:szCs w:val="21"/>
        </w:rPr>
        <w:t>投标人随投标文件提交附图图纸，并保证其清楚准确，以便买方对投标人的技术方案有充分的认识。在“招标附图”中列出了由买方提供的图纸，这些图纸仅用于示意合同设备的总体设想和布置，并非用来确定合同设备的设计。</w:t>
      </w:r>
    </w:p>
    <w:p>
      <w:pPr>
        <w:spacing w:line="500" w:lineRule="exact"/>
        <w:jc w:val="left"/>
        <w:rPr>
          <w:rFonts w:ascii="宋体" w:hAnsi="宋体" w:cs="宋体"/>
          <w:b/>
          <w:bCs/>
          <w:position w:val="-3"/>
          <w:sz w:val="24"/>
        </w:rPr>
      </w:pPr>
    </w:p>
    <w:p>
      <w:pPr>
        <w:spacing w:line="500" w:lineRule="exact"/>
        <w:jc w:val="left"/>
        <w:rPr>
          <w:rFonts w:ascii="宋体" w:hAnsi="宋体" w:cs="宋体"/>
          <w:b/>
          <w:bCs/>
          <w:position w:val="-3"/>
          <w:sz w:val="24"/>
        </w:rPr>
      </w:pPr>
    </w:p>
    <w:p>
      <w:pPr>
        <w:spacing w:line="500" w:lineRule="exact"/>
        <w:jc w:val="left"/>
        <w:rPr>
          <w:rFonts w:ascii="宋体" w:hAnsi="宋体" w:cs="宋体"/>
          <w:b/>
          <w:bCs/>
          <w:position w:val="-3"/>
          <w:sz w:val="24"/>
        </w:rPr>
      </w:pPr>
    </w:p>
    <w:p>
      <w:pPr>
        <w:spacing w:line="500" w:lineRule="exact"/>
        <w:jc w:val="left"/>
        <w:rPr>
          <w:rFonts w:ascii="宋体" w:hAnsi="宋体" w:cs="宋体"/>
          <w:b/>
          <w:bCs/>
          <w:position w:val="-3"/>
          <w:sz w:val="24"/>
        </w:rPr>
      </w:pPr>
    </w:p>
    <w:p>
      <w:pPr>
        <w:spacing w:line="500" w:lineRule="exact"/>
        <w:jc w:val="left"/>
        <w:rPr>
          <w:rFonts w:ascii="宋体" w:hAnsi="宋体" w:cs="宋体"/>
          <w:b/>
          <w:bCs/>
          <w:position w:val="-3"/>
          <w:sz w:val="24"/>
        </w:rPr>
      </w:pPr>
    </w:p>
    <w:p>
      <w:pPr>
        <w:spacing w:line="500" w:lineRule="exact"/>
        <w:jc w:val="left"/>
        <w:rPr>
          <w:rFonts w:ascii="宋体" w:hAnsi="宋体" w:cs="宋体"/>
          <w:b/>
          <w:bCs/>
          <w:position w:val="-3"/>
          <w:sz w:val="24"/>
        </w:rPr>
      </w:pPr>
    </w:p>
    <w:p>
      <w:pPr>
        <w:spacing w:line="500" w:lineRule="exact"/>
        <w:jc w:val="left"/>
        <w:rPr>
          <w:rFonts w:ascii="宋体" w:hAnsi="宋体" w:cs="宋体"/>
          <w:b/>
          <w:bCs/>
          <w:position w:val="-3"/>
          <w:sz w:val="24"/>
        </w:rPr>
      </w:pPr>
    </w:p>
    <w:p>
      <w:pPr>
        <w:spacing w:line="500" w:lineRule="exact"/>
        <w:jc w:val="left"/>
        <w:rPr>
          <w:rFonts w:ascii="宋体" w:hAnsi="宋体" w:cs="宋体"/>
          <w:b/>
          <w:bCs/>
          <w:position w:val="-3"/>
          <w:sz w:val="24"/>
        </w:rPr>
      </w:pPr>
    </w:p>
    <w:p>
      <w:pPr>
        <w:spacing w:line="500" w:lineRule="exact"/>
        <w:jc w:val="left"/>
        <w:rPr>
          <w:rFonts w:ascii="宋体" w:hAnsi="宋体" w:cs="宋体"/>
          <w:b/>
          <w:bCs/>
          <w:position w:val="-3"/>
          <w:sz w:val="24"/>
        </w:rPr>
      </w:pPr>
    </w:p>
    <w:p>
      <w:pPr>
        <w:spacing w:line="500" w:lineRule="exact"/>
        <w:jc w:val="left"/>
        <w:rPr>
          <w:rFonts w:ascii="宋体" w:hAnsi="宋体" w:cs="宋体"/>
          <w:b/>
          <w:bCs/>
          <w:position w:val="-3"/>
          <w:sz w:val="24"/>
        </w:rPr>
      </w:pPr>
    </w:p>
    <w:p>
      <w:pPr>
        <w:spacing w:line="500" w:lineRule="exact"/>
        <w:jc w:val="left"/>
        <w:rPr>
          <w:rFonts w:ascii="宋体" w:hAnsi="宋体" w:cs="宋体"/>
          <w:b/>
          <w:bCs/>
          <w:position w:val="-3"/>
          <w:sz w:val="24"/>
        </w:rPr>
      </w:pPr>
    </w:p>
    <w:p>
      <w:pPr>
        <w:spacing w:line="500" w:lineRule="exact"/>
        <w:jc w:val="left"/>
        <w:rPr>
          <w:rFonts w:ascii="宋体" w:hAnsi="宋体" w:cs="宋体"/>
          <w:b/>
          <w:bCs/>
          <w:position w:val="-3"/>
          <w:sz w:val="24"/>
        </w:rPr>
      </w:pPr>
    </w:p>
    <w:p>
      <w:pPr>
        <w:spacing w:line="500" w:lineRule="exact"/>
        <w:jc w:val="left"/>
        <w:rPr>
          <w:rFonts w:ascii="宋体" w:hAnsi="宋体" w:cs="宋体"/>
          <w:b/>
          <w:bCs/>
          <w:position w:val="-3"/>
          <w:sz w:val="24"/>
        </w:rPr>
      </w:pPr>
    </w:p>
    <w:p>
      <w:pPr>
        <w:spacing w:line="500" w:lineRule="exact"/>
        <w:jc w:val="left"/>
        <w:rPr>
          <w:rFonts w:ascii="宋体" w:hAnsi="宋体" w:cs="宋体"/>
          <w:b/>
          <w:bCs/>
          <w:position w:val="-3"/>
          <w:sz w:val="24"/>
        </w:rPr>
      </w:pPr>
    </w:p>
    <w:p>
      <w:pPr>
        <w:spacing w:line="500" w:lineRule="exact"/>
        <w:jc w:val="left"/>
        <w:rPr>
          <w:rFonts w:ascii="宋体" w:hAnsi="宋体" w:cs="宋体"/>
          <w:b/>
          <w:bCs/>
          <w:position w:val="-3"/>
          <w:sz w:val="24"/>
        </w:rPr>
      </w:pPr>
    </w:p>
    <w:p>
      <w:pPr>
        <w:spacing w:line="500" w:lineRule="exact"/>
        <w:jc w:val="left"/>
        <w:rPr>
          <w:rFonts w:ascii="宋体" w:hAnsi="宋体" w:cs="宋体"/>
          <w:b/>
          <w:bCs/>
          <w:position w:val="-3"/>
          <w:sz w:val="24"/>
        </w:rPr>
      </w:pPr>
    </w:p>
    <w:p>
      <w:pPr>
        <w:spacing w:line="500" w:lineRule="exact"/>
        <w:jc w:val="left"/>
        <w:rPr>
          <w:rFonts w:ascii="宋体" w:hAnsi="宋体" w:cs="宋体"/>
          <w:b/>
          <w:bCs/>
          <w:position w:val="-3"/>
          <w:sz w:val="24"/>
        </w:rPr>
      </w:pPr>
    </w:p>
    <w:p>
      <w:pPr>
        <w:spacing w:line="500" w:lineRule="exact"/>
        <w:jc w:val="left"/>
        <w:rPr>
          <w:rFonts w:ascii="宋体" w:hAnsi="宋体" w:cs="宋体"/>
          <w:b/>
          <w:bCs/>
          <w:position w:val="-3"/>
          <w:sz w:val="24"/>
        </w:rPr>
      </w:pPr>
    </w:p>
    <w:p>
      <w:pPr>
        <w:spacing w:line="500" w:lineRule="exact"/>
        <w:jc w:val="left"/>
        <w:rPr>
          <w:rFonts w:ascii="宋体" w:hAnsi="宋体" w:cs="宋体"/>
          <w:b/>
          <w:bCs/>
          <w:sz w:val="24"/>
          <w:szCs w:val="24"/>
        </w:rPr>
      </w:pPr>
    </w:p>
    <w:p>
      <w:pPr>
        <w:pStyle w:val="3"/>
        <w:bidi w:val="0"/>
        <w:jc w:val="center"/>
        <w:rPr>
          <w:sz w:val="52"/>
          <w:szCs w:val="52"/>
        </w:rPr>
      </w:pPr>
      <w:bookmarkStart w:id="209" w:name="_Toc31791942"/>
      <w:r>
        <w:rPr>
          <w:rFonts w:hint="eastAsia"/>
          <w:sz w:val="52"/>
          <w:szCs w:val="52"/>
        </w:rPr>
        <w:t>第三卷</w:t>
      </w:r>
      <w:bookmarkEnd w:id="209"/>
    </w:p>
    <w:p>
      <w:pPr>
        <w:jc w:val="center"/>
        <w:rPr>
          <w:sz w:val="24"/>
        </w:rPr>
        <w:sectPr>
          <w:footerReference r:id="rId5" w:type="default"/>
          <w:pgSz w:w="12240" w:h="15840"/>
          <w:pgMar w:top="1440" w:right="1417" w:bottom="669" w:left="1417" w:header="720" w:footer="720" w:gutter="0"/>
          <w:pgNumType w:start="1"/>
          <w:cols w:space="720" w:num="1"/>
          <w:docGrid w:linePitch="1" w:charSpace="0"/>
        </w:sectPr>
      </w:pPr>
    </w:p>
    <w:p>
      <w:pPr>
        <w:spacing w:line="9" w:lineRule="exact"/>
        <w:jc w:val="center"/>
        <w:rPr>
          <w:sz w:val="24"/>
        </w:rPr>
      </w:pPr>
      <w:bookmarkStart w:id="210" w:name="page69"/>
      <w:bookmarkEnd w:id="210"/>
    </w:p>
    <w:p>
      <w:pPr>
        <w:pStyle w:val="3"/>
        <w:spacing w:before="0" w:after="0" w:line="415" w:lineRule="auto"/>
        <w:jc w:val="center"/>
      </w:pPr>
      <w:bookmarkStart w:id="211" w:name="_Toc31791943"/>
      <w:r>
        <w:rPr>
          <w:rFonts w:hint="eastAsia"/>
        </w:rPr>
        <w:t>第六章投标文件格式</w:t>
      </w:r>
      <w:bookmarkEnd w:id="211"/>
    </w:p>
    <w:p>
      <w:pPr>
        <w:jc w:val="left"/>
        <w:rPr>
          <w:sz w:val="24"/>
        </w:rPr>
        <w:sectPr>
          <w:pgSz w:w="12240" w:h="15840"/>
          <w:pgMar w:top="1440" w:right="1417" w:bottom="669" w:left="1417" w:header="720" w:footer="720" w:gutter="0"/>
          <w:cols w:space="720" w:num="1"/>
          <w:docGrid w:linePitch="1" w:charSpace="0"/>
        </w:sectPr>
      </w:pPr>
    </w:p>
    <w:p>
      <w:pPr>
        <w:spacing w:line="239" w:lineRule="auto"/>
        <w:jc w:val="center"/>
        <w:rPr>
          <w:b/>
          <w:sz w:val="44"/>
          <w:szCs w:val="44"/>
        </w:rPr>
      </w:pPr>
      <w:r>
        <w:rPr>
          <w:rFonts w:hint="eastAsia" w:ascii="宋体" w:hAnsi="宋体"/>
          <w:b/>
          <w:sz w:val="44"/>
          <w:szCs w:val="44"/>
          <w:u w:val="single"/>
        </w:rPr>
        <w:t>（项目名称）</w:t>
      </w:r>
      <w:r>
        <w:rPr>
          <w:rFonts w:hint="eastAsia" w:ascii="宋体" w:hAnsi="宋体"/>
          <w:b/>
          <w:sz w:val="44"/>
          <w:szCs w:val="44"/>
        </w:rPr>
        <w:t>招标项目</w:t>
      </w:r>
    </w:p>
    <w:p>
      <w:pPr>
        <w:spacing w:line="200" w:lineRule="exact"/>
        <w:jc w:val="center"/>
        <w:rPr>
          <w:sz w:val="24"/>
        </w:rPr>
      </w:pPr>
    </w:p>
    <w:p>
      <w:pPr>
        <w:spacing w:line="305" w:lineRule="exact"/>
        <w:jc w:val="center"/>
        <w:rPr>
          <w:sz w:val="24"/>
        </w:rPr>
      </w:pPr>
    </w:p>
    <w:p>
      <w:pPr>
        <w:spacing w:line="305" w:lineRule="exact"/>
        <w:jc w:val="center"/>
        <w:rPr>
          <w:sz w:val="24"/>
        </w:rPr>
      </w:pPr>
    </w:p>
    <w:p>
      <w:pPr>
        <w:spacing w:line="239" w:lineRule="auto"/>
        <w:jc w:val="center"/>
        <w:rPr>
          <w:b/>
          <w:sz w:val="72"/>
          <w:szCs w:val="72"/>
        </w:rPr>
      </w:pPr>
      <w:r>
        <w:rPr>
          <w:rFonts w:hint="eastAsia" w:ascii="宋体" w:hAnsi="宋体"/>
          <w:b/>
          <w:sz w:val="72"/>
          <w:szCs w:val="72"/>
        </w:rPr>
        <w:t>投 标 文 件</w:t>
      </w: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338" w:lineRule="exact"/>
        <w:jc w:val="left"/>
        <w:rPr>
          <w:sz w:val="24"/>
        </w:rPr>
      </w:pPr>
    </w:p>
    <w:p>
      <w:pPr>
        <w:tabs>
          <w:tab w:val="left" w:pos="5720"/>
        </w:tabs>
        <w:ind w:left="1478" w:leftChars="704"/>
        <w:jc w:val="left"/>
        <w:rPr>
          <w:rFonts w:ascii="宋体" w:hAnsi="宋体"/>
          <w:b/>
          <w:sz w:val="28"/>
        </w:rPr>
      </w:pPr>
      <w:r>
        <w:rPr>
          <w:rFonts w:hint="eastAsia" w:ascii="宋体" w:hAnsi="宋体"/>
          <w:b/>
          <w:sz w:val="28"/>
        </w:rPr>
        <w:t>投标人：</w:t>
      </w:r>
      <w:r>
        <w:rPr>
          <w:b/>
          <w:sz w:val="24"/>
          <w:u w:val="single"/>
        </w:rPr>
        <w:tab/>
      </w:r>
      <w:r>
        <w:rPr>
          <w:rFonts w:hint="eastAsia" w:ascii="宋体" w:hAnsi="宋体"/>
          <w:b/>
          <w:sz w:val="28"/>
        </w:rPr>
        <w:t>（盖单位章）</w:t>
      </w:r>
    </w:p>
    <w:p>
      <w:pPr>
        <w:tabs>
          <w:tab w:val="left" w:pos="5720"/>
        </w:tabs>
        <w:ind w:left="1478" w:leftChars="704"/>
        <w:jc w:val="left"/>
        <w:rPr>
          <w:rFonts w:ascii="宋体" w:hAnsi="宋体"/>
          <w:b/>
          <w:sz w:val="28"/>
        </w:rPr>
      </w:pPr>
    </w:p>
    <w:p>
      <w:pPr>
        <w:tabs>
          <w:tab w:val="left" w:pos="5720"/>
        </w:tabs>
        <w:ind w:left="1478" w:leftChars="704"/>
        <w:jc w:val="left"/>
        <w:rPr>
          <w:rFonts w:ascii="宋体" w:hAnsi="宋体"/>
          <w:b/>
          <w:sz w:val="28"/>
        </w:rPr>
      </w:pPr>
    </w:p>
    <w:p>
      <w:pPr>
        <w:tabs>
          <w:tab w:val="left" w:pos="3400"/>
          <w:tab w:val="left" w:pos="4420"/>
        </w:tabs>
        <w:spacing w:line="239" w:lineRule="auto"/>
        <w:ind w:left="1478" w:leftChars="704"/>
        <w:jc w:val="left"/>
        <w:rPr>
          <w:rFonts w:ascii="宋体" w:hAnsi="宋体"/>
          <w:b/>
          <w:sz w:val="27"/>
        </w:rPr>
      </w:pPr>
      <w:r>
        <w:rPr>
          <w:rFonts w:hint="eastAsia" w:ascii="宋体" w:hAnsi="宋体"/>
          <w:b/>
          <w:sz w:val="27"/>
        </w:rPr>
        <w:t>法定代表人或其委托代理人：</w:t>
      </w:r>
      <w:r>
        <w:rPr>
          <w:b/>
          <w:sz w:val="24"/>
          <w:u w:val="single"/>
        </w:rPr>
        <w:tab/>
      </w:r>
      <w:r>
        <w:rPr>
          <w:rFonts w:hint="eastAsia" w:ascii="宋体" w:hAnsi="宋体"/>
          <w:b/>
          <w:sz w:val="27"/>
        </w:rPr>
        <w:t>（签字）</w:t>
      </w:r>
    </w:p>
    <w:p>
      <w:pPr>
        <w:tabs>
          <w:tab w:val="left" w:pos="3400"/>
          <w:tab w:val="left" w:pos="4420"/>
        </w:tabs>
        <w:spacing w:line="239" w:lineRule="auto"/>
        <w:ind w:left="1478" w:leftChars="704"/>
        <w:jc w:val="center"/>
        <w:rPr>
          <w:rFonts w:ascii="宋体" w:hAnsi="宋体"/>
          <w:b/>
          <w:sz w:val="27"/>
        </w:rPr>
      </w:pPr>
    </w:p>
    <w:p>
      <w:pPr>
        <w:tabs>
          <w:tab w:val="left" w:pos="3400"/>
          <w:tab w:val="left" w:pos="4420"/>
        </w:tabs>
        <w:spacing w:line="239" w:lineRule="auto"/>
        <w:ind w:left="1478" w:leftChars="704"/>
        <w:jc w:val="center"/>
        <w:rPr>
          <w:rFonts w:ascii="宋体" w:hAnsi="宋体"/>
          <w:b/>
          <w:sz w:val="27"/>
        </w:rPr>
      </w:pPr>
    </w:p>
    <w:p>
      <w:pPr>
        <w:tabs>
          <w:tab w:val="left" w:pos="3400"/>
          <w:tab w:val="left" w:pos="4420"/>
        </w:tabs>
        <w:spacing w:line="239" w:lineRule="auto"/>
        <w:ind w:left="1478" w:leftChars="704"/>
        <w:jc w:val="center"/>
        <w:rPr>
          <w:rFonts w:ascii="宋体" w:hAnsi="宋体"/>
          <w:b/>
          <w:sz w:val="28"/>
        </w:rPr>
      </w:pPr>
      <w:r>
        <w:rPr>
          <w:rFonts w:hint="eastAsia" w:ascii="宋体" w:hAnsi="宋体"/>
          <w:b/>
          <w:sz w:val="28"/>
          <w:lang w:val="en-US" w:eastAsia="zh-CN"/>
        </w:rPr>
        <w:t xml:space="preserve">            </w:t>
      </w:r>
      <w:r>
        <w:rPr>
          <w:rFonts w:hint="eastAsia" w:ascii="宋体" w:hAnsi="宋体"/>
          <w:b/>
          <w:sz w:val="28"/>
        </w:rPr>
        <w:t>年</w:t>
      </w:r>
      <w:r>
        <w:rPr>
          <w:rFonts w:hint="eastAsia" w:ascii="宋体" w:hAnsi="宋体"/>
          <w:b/>
          <w:sz w:val="28"/>
          <w:lang w:val="en-US" w:eastAsia="zh-CN"/>
        </w:rPr>
        <w:t xml:space="preserve">  </w:t>
      </w:r>
      <w:r>
        <w:rPr>
          <w:rFonts w:hint="eastAsia" w:ascii="宋体" w:hAnsi="宋体"/>
          <w:b/>
          <w:sz w:val="28"/>
        </w:rPr>
        <w:t>月</w:t>
      </w:r>
      <w:r>
        <w:rPr>
          <w:rFonts w:hint="eastAsia" w:ascii="宋体" w:hAnsi="宋体"/>
          <w:b/>
          <w:sz w:val="28"/>
          <w:lang w:val="en-US" w:eastAsia="zh-CN"/>
        </w:rPr>
        <w:t xml:space="preserve">   </w:t>
      </w:r>
      <w:r>
        <w:rPr>
          <w:rFonts w:hint="eastAsia" w:ascii="宋体" w:hAnsi="宋体"/>
          <w:b/>
          <w:sz w:val="28"/>
        </w:rPr>
        <w:t>日</w:t>
      </w:r>
    </w:p>
    <w:p>
      <w:pPr>
        <w:tabs>
          <w:tab w:val="left" w:pos="3400"/>
          <w:tab w:val="left" w:pos="4420"/>
        </w:tabs>
        <w:spacing w:line="239" w:lineRule="auto"/>
        <w:ind w:left="3158" w:leftChars="1504"/>
        <w:jc w:val="left"/>
        <w:rPr>
          <w:rFonts w:ascii="宋体" w:hAnsi="宋体"/>
          <w:sz w:val="28"/>
        </w:rPr>
      </w:pPr>
    </w:p>
    <w:p>
      <w:pPr>
        <w:spacing w:line="200" w:lineRule="exact"/>
        <w:jc w:val="left"/>
        <w:rPr>
          <w:sz w:val="24"/>
        </w:rPr>
      </w:pPr>
    </w:p>
    <w:p>
      <w:pPr>
        <w:spacing w:line="200" w:lineRule="exact"/>
        <w:jc w:val="left"/>
        <w:rPr>
          <w:sz w:val="24"/>
        </w:rPr>
      </w:pPr>
    </w:p>
    <w:p>
      <w:pPr>
        <w:spacing w:line="200" w:lineRule="exact"/>
        <w:jc w:val="left"/>
        <w:rPr>
          <w:sz w:val="24"/>
        </w:rPr>
      </w:pPr>
    </w:p>
    <w:p>
      <w:pPr>
        <w:jc w:val="left"/>
        <w:rPr>
          <w:sz w:val="24"/>
        </w:rPr>
        <w:sectPr>
          <w:pgSz w:w="12240" w:h="15840"/>
          <w:pgMar w:top="1440" w:right="1417" w:bottom="669" w:left="1417" w:header="720" w:footer="720" w:gutter="0"/>
          <w:cols w:space="720" w:num="1"/>
          <w:docGrid w:linePitch="1" w:charSpace="0"/>
        </w:sectPr>
      </w:pPr>
    </w:p>
    <w:p>
      <w:pPr>
        <w:spacing w:line="1" w:lineRule="exact"/>
        <w:jc w:val="left"/>
        <w:rPr>
          <w:sz w:val="24"/>
        </w:rPr>
      </w:pPr>
      <w:bookmarkStart w:id="212" w:name="page71"/>
      <w:bookmarkEnd w:id="212"/>
    </w:p>
    <w:p>
      <w:pPr>
        <w:bidi w:val="0"/>
        <w:jc w:val="center"/>
        <w:rPr>
          <w:b/>
          <w:bCs/>
          <w:sz w:val="32"/>
          <w:szCs w:val="32"/>
        </w:rPr>
      </w:pPr>
      <w:bookmarkStart w:id="213" w:name="_Toc31791944"/>
      <w:r>
        <w:rPr>
          <w:rFonts w:hint="eastAsia"/>
          <w:b/>
          <w:bCs/>
          <w:sz w:val="32"/>
          <w:szCs w:val="32"/>
        </w:rPr>
        <w:t>目   录</w:t>
      </w:r>
      <w:bookmarkEnd w:id="213"/>
    </w:p>
    <w:p>
      <w:pPr>
        <w:spacing w:line="360" w:lineRule="auto"/>
        <w:ind w:firstLine="482" w:firstLineChars="200"/>
        <w:rPr>
          <w:b/>
          <w:sz w:val="24"/>
        </w:rPr>
      </w:pPr>
    </w:p>
    <w:p>
      <w:pPr>
        <w:numPr>
          <w:ilvl w:val="0"/>
          <w:numId w:val="13"/>
        </w:numPr>
        <w:spacing w:line="360" w:lineRule="auto"/>
        <w:ind w:firstLine="480" w:firstLineChars="200"/>
        <w:rPr>
          <w:rFonts w:hint="eastAsia" w:ascii="宋体" w:hAnsi="宋体"/>
          <w:sz w:val="24"/>
          <w:szCs w:val="24"/>
        </w:rPr>
      </w:pPr>
      <w:r>
        <w:rPr>
          <w:rFonts w:hint="eastAsia" w:ascii="宋体" w:hAnsi="宋体"/>
          <w:sz w:val="24"/>
          <w:szCs w:val="24"/>
        </w:rPr>
        <w:t>投标函</w:t>
      </w:r>
    </w:p>
    <w:p>
      <w:pPr>
        <w:numPr>
          <w:ilvl w:val="0"/>
          <w:numId w:val="13"/>
        </w:numPr>
        <w:spacing w:line="360" w:lineRule="auto"/>
        <w:ind w:firstLine="480" w:firstLineChars="200"/>
        <w:rPr>
          <w:rFonts w:ascii="宋体" w:hAnsi="宋体"/>
          <w:sz w:val="24"/>
          <w:szCs w:val="24"/>
        </w:rPr>
      </w:pPr>
      <w:r>
        <w:rPr>
          <w:rFonts w:hint="eastAsia" w:ascii="宋体" w:hAnsi="宋体"/>
          <w:sz w:val="24"/>
          <w:szCs w:val="24"/>
        </w:rPr>
        <w:t>开标一览表</w:t>
      </w:r>
    </w:p>
    <w:p>
      <w:pPr>
        <w:spacing w:line="360" w:lineRule="auto"/>
        <w:ind w:firstLine="480" w:firstLineChars="200"/>
        <w:rPr>
          <w:rFonts w:ascii="宋体" w:hAnsi="宋体"/>
          <w:sz w:val="24"/>
          <w:szCs w:val="24"/>
        </w:rPr>
      </w:pPr>
      <w:r>
        <w:rPr>
          <w:rFonts w:hint="eastAsia" w:ascii="宋体" w:hAnsi="宋体"/>
          <w:sz w:val="24"/>
          <w:szCs w:val="24"/>
          <w:lang w:val="en-US" w:eastAsia="zh-CN"/>
        </w:rPr>
        <w:t>三</w:t>
      </w:r>
      <w:r>
        <w:rPr>
          <w:rFonts w:hint="eastAsia" w:ascii="宋体" w:hAnsi="宋体"/>
          <w:sz w:val="24"/>
          <w:szCs w:val="24"/>
        </w:rPr>
        <w:t xml:space="preserve">、法定代表人身份证明（适用于无委托代理人的情况） </w:t>
      </w:r>
    </w:p>
    <w:p>
      <w:pPr>
        <w:spacing w:line="360" w:lineRule="auto"/>
        <w:ind w:firstLine="480" w:firstLineChars="200"/>
        <w:rPr>
          <w:rFonts w:ascii="宋体" w:hAnsi="宋体"/>
          <w:sz w:val="24"/>
          <w:szCs w:val="24"/>
        </w:rPr>
      </w:pPr>
      <w:r>
        <w:rPr>
          <w:rFonts w:hint="eastAsia" w:ascii="宋体" w:hAnsi="宋体"/>
          <w:sz w:val="24"/>
          <w:szCs w:val="24"/>
          <w:lang w:val="en-US" w:eastAsia="zh-CN"/>
        </w:rPr>
        <w:t>三</w:t>
      </w:r>
      <w:r>
        <w:rPr>
          <w:rFonts w:hint="eastAsia" w:ascii="宋体" w:hAnsi="宋体"/>
          <w:sz w:val="24"/>
          <w:szCs w:val="24"/>
        </w:rPr>
        <w:t>、授权委托书（适用于有委托代理人的情况）</w:t>
      </w:r>
    </w:p>
    <w:p>
      <w:pPr>
        <w:spacing w:line="360" w:lineRule="auto"/>
        <w:ind w:firstLine="480" w:firstLineChars="200"/>
        <w:rPr>
          <w:rFonts w:ascii="宋体" w:hAnsi="宋体"/>
          <w:sz w:val="24"/>
          <w:szCs w:val="24"/>
        </w:rPr>
      </w:pPr>
      <w:r>
        <w:rPr>
          <w:rFonts w:hint="eastAsia" w:ascii="宋体" w:hAnsi="宋体"/>
          <w:sz w:val="24"/>
          <w:szCs w:val="24"/>
          <w:lang w:val="en-US" w:eastAsia="zh-CN"/>
        </w:rPr>
        <w:t>四</w:t>
      </w:r>
      <w:r>
        <w:rPr>
          <w:rFonts w:hint="eastAsia" w:ascii="宋体" w:hAnsi="宋体"/>
          <w:sz w:val="24"/>
          <w:szCs w:val="24"/>
        </w:rPr>
        <w:t xml:space="preserve">、投标保证金 </w:t>
      </w:r>
    </w:p>
    <w:p>
      <w:pPr>
        <w:spacing w:line="360" w:lineRule="auto"/>
        <w:ind w:firstLine="480" w:firstLineChars="200"/>
        <w:rPr>
          <w:rFonts w:ascii="宋体" w:hAnsi="宋体"/>
          <w:sz w:val="24"/>
          <w:szCs w:val="24"/>
        </w:rPr>
      </w:pPr>
      <w:r>
        <w:rPr>
          <w:rFonts w:hint="eastAsia" w:ascii="宋体" w:hAnsi="宋体"/>
          <w:sz w:val="24"/>
          <w:szCs w:val="24"/>
          <w:lang w:val="en-US" w:eastAsia="zh-CN"/>
        </w:rPr>
        <w:t>五</w:t>
      </w:r>
      <w:r>
        <w:rPr>
          <w:rFonts w:hint="eastAsia" w:ascii="宋体" w:hAnsi="宋体"/>
          <w:sz w:val="24"/>
          <w:szCs w:val="24"/>
        </w:rPr>
        <w:t xml:space="preserve">、商务和技术偏差表 </w:t>
      </w:r>
    </w:p>
    <w:p>
      <w:pPr>
        <w:spacing w:line="360" w:lineRule="auto"/>
        <w:ind w:firstLine="480" w:firstLineChars="200"/>
        <w:rPr>
          <w:rFonts w:ascii="宋体" w:hAnsi="宋体"/>
          <w:sz w:val="24"/>
          <w:szCs w:val="24"/>
        </w:rPr>
      </w:pPr>
      <w:r>
        <w:rPr>
          <w:rFonts w:hint="eastAsia" w:ascii="宋体" w:hAnsi="宋体"/>
          <w:sz w:val="24"/>
          <w:szCs w:val="24"/>
          <w:lang w:val="en-US" w:eastAsia="zh-CN"/>
        </w:rPr>
        <w:t>六</w:t>
      </w:r>
      <w:r>
        <w:rPr>
          <w:rFonts w:hint="eastAsia" w:ascii="宋体" w:hAnsi="宋体"/>
          <w:sz w:val="24"/>
          <w:szCs w:val="24"/>
        </w:rPr>
        <w:t xml:space="preserve">、分项报价表 </w:t>
      </w:r>
    </w:p>
    <w:p>
      <w:pPr>
        <w:spacing w:line="360" w:lineRule="auto"/>
        <w:ind w:firstLine="480" w:firstLineChars="200"/>
        <w:rPr>
          <w:rFonts w:ascii="宋体" w:hAnsi="宋体"/>
          <w:sz w:val="24"/>
          <w:szCs w:val="24"/>
        </w:rPr>
      </w:pPr>
      <w:r>
        <w:rPr>
          <w:rFonts w:hint="eastAsia" w:ascii="宋体" w:hAnsi="宋体"/>
          <w:sz w:val="24"/>
          <w:szCs w:val="24"/>
          <w:lang w:val="en-US" w:eastAsia="zh-CN"/>
        </w:rPr>
        <w:t>七</w:t>
      </w:r>
      <w:r>
        <w:rPr>
          <w:rFonts w:hint="eastAsia" w:ascii="宋体" w:hAnsi="宋体"/>
          <w:sz w:val="24"/>
          <w:szCs w:val="24"/>
        </w:rPr>
        <w:t>、资格审查资料</w:t>
      </w:r>
    </w:p>
    <w:p>
      <w:pPr>
        <w:spacing w:line="360" w:lineRule="auto"/>
        <w:ind w:firstLine="480" w:firstLineChars="200"/>
        <w:rPr>
          <w:rFonts w:ascii="宋体" w:hAnsi="宋体"/>
          <w:sz w:val="24"/>
          <w:szCs w:val="24"/>
        </w:rPr>
      </w:pPr>
      <w:r>
        <w:rPr>
          <w:rFonts w:hint="eastAsia" w:ascii="宋体" w:hAnsi="宋体"/>
          <w:sz w:val="24"/>
          <w:szCs w:val="24"/>
          <w:lang w:val="en-US" w:eastAsia="zh-CN"/>
        </w:rPr>
        <w:t>八</w:t>
      </w:r>
      <w:r>
        <w:rPr>
          <w:rFonts w:hint="eastAsia" w:ascii="宋体" w:hAnsi="宋体"/>
          <w:sz w:val="24"/>
          <w:szCs w:val="24"/>
        </w:rPr>
        <w:t>、</w:t>
      </w:r>
      <w:r>
        <w:rPr>
          <w:rFonts w:ascii="宋体" w:hAnsi="宋体"/>
          <w:sz w:val="24"/>
          <w:szCs w:val="24"/>
        </w:rPr>
        <w:t>投标设备技术性能指标的详细描述</w:t>
      </w:r>
    </w:p>
    <w:p>
      <w:pPr>
        <w:spacing w:line="360" w:lineRule="auto"/>
        <w:ind w:firstLine="480" w:firstLineChars="200"/>
        <w:rPr>
          <w:rFonts w:ascii="宋体" w:hAnsi="宋体"/>
          <w:sz w:val="24"/>
          <w:szCs w:val="24"/>
        </w:rPr>
      </w:pPr>
      <w:r>
        <w:rPr>
          <w:rFonts w:hint="eastAsia" w:ascii="宋体" w:hAnsi="宋体"/>
          <w:sz w:val="24"/>
          <w:szCs w:val="24"/>
          <w:lang w:val="en-US" w:eastAsia="zh-CN"/>
        </w:rPr>
        <w:t>九</w:t>
      </w:r>
      <w:r>
        <w:rPr>
          <w:rFonts w:hint="eastAsia" w:ascii="宋体" w:hAnsi="宋体"/>
          <w:sz w:val="24"/>
          <w:szCs w:val="24"/>
        </w:rPr>
        <w:t xml:space="preserve">、技术支持资料 </w:t>
      </w:r>
    </w:p>
    <w:p>
      <w:pPr>
        <w:spacing w:line="360" w:lineRule="auto"/>
        <w:ind w:firstLine="480" w:firstLineChars="200"/>
        <w:rPr>
          <w:rFonts w:ascii="宋体" w:hAnsi="宋体"/>
          <w:sz w:val="24"/>
          <w:szCs w:val="24"/>
        </w:rPr>
      </w:pPr>
      <w:r>
        <w:rPr>
          <w:rFonts w:hint="eastAsia" w:ascii="宋体" w:hAnsi="宋体"/>
          <w:sz w:val="24"/>
          <w:szCs w:val="24"/>
          <w:lang w:val="en-US" w:eastAsia="zh-CN"/>
        </w:rPr>
        <w:t>十</w:t>
      </w:r>
      <w:r>
        <w:rPr>
          <w:rFonts w:hint="eastAsia" w:ascii="宋体" w:hAnsi="宋体"/>
          <w:sz w:val="24"/>
          <w:szCs w:val="24"/>
        </w:rPr>
        <w:t>、技术服务和质保期服务计划</w:t>
      </w:r>
    </w:p>
    <w:p>
      <w:pPr>
        <w:spacing w:line="360" w:lineRule="auto"/>
        <w:ind w:firstLine="480" w:firstLineChars="200"/>
        <w:rPr>
          <w:rFonts w:ascii="宋体" w:hAnsi="宋体"/>
          <w:sz w:val="24"/>
          <w:szCs w:val="24"/>
        </w:rPr>
      </w:pPr>
      <w:r>
        <w:rPr>
          <w:rFonts w:hint="eastAsia" w:ascii="宋体" w:hAnsi="宋体"/>
          <w:sz w:val="24"/>
          <w:szCs w:val="24"/>
        </w:rPr>
        <w:t>十</w:t>
      </w:r>
      <w:r>
        <w:rPr>
          <w:rFonts w:hint="eastAsia" w:ascii="宋体" w:hAnsi="宋体"/>
          <w:sz w:val="24"/>
          <w:szCs w:val="24"/>
          <w:lang w:val="en-US" w:eastAsia="zh-CN"/>
        </w:rPr>
        <w:t>一</w:t>
      </w:r>
      <w:r>
        <w:rPr>
          <w:rFonts w:hint="eastAsia" w:ascii="宋体" w:hAnsi="宋体"/>
          <w:sz w:val="24"/>
          <w:szCs w:val="24"/>
        </w:rPr>
        <w:t>、其他资料</w:t>
      </w:r>
    </w:p>
    <w:p>
      <w:pPr>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325" w:lineRule="exact"/>
        <w:jc w:val="left"/>
        <w:rPr>
          <w:sz w:val="24"/>
        </w:rPr>
      </w:pPr>
    </w:p>
    <w:p>
      <w:pPr>
        <w:jc w:val="left"/>
        <w:rPr>
          <w:sz w:val="24"/>
        </w:rPr>
        <w:sectPr>
          <w:pgSz w:w="12240" w:h="15840"/>
          <w:pgMar w:top="1440" w:right="1200" w:bottom="667" w:left="1800" w:header="720" w:footer="720" w:gutter="0"/>
          <w:cols w:space="720" w:num="1"/>
        </w:sectPr>
      </w:pPr>
    </w:p>
    <w:p>
      <w:pPr>
        <w:spacing w:line="1" w:lineRule="exact"/>
        <w:jc w:val="left"/>
        <w:rPr>
          <w:sz w:val="24"/>
        </w:rPr>
      </w:pPr>
      <w:bookmarkStart w:id="214" w:name="page72"/>
      <w:bookmarkEnd w:id="214"/>
    </w:p>
    <w:p>
      <w:pPr>
        <w:pStyle w:val="4"/>
        <w:spacing w:before="0" w:after="0" w:line="500" w:lineRule="exact"/>
        <w:jc w:val="center"/>
        <w:rPr>
          <w:rFonts w:ascii="宋体" w:hAnsi="宋体"/>
        </w:rPr>
      </w:pPr>
      <w:bookmarkStart w:id="215" w:name="_Toc31791945"/>
      <w:r>
        <w:rPr>
          <w:rFonts w:hint="eastAsia" w:ascii="宋体" w:hAnsi="宋体"/>
        </w:rPr>
        <w:t>一、投标函、开标一览表</w:t>
      </w:r>
      <w:bookmarkEnd w:id="215"/>
    </w:p>
    <w:p>
      <w:pPr>
        <w:spacing w:line="500" w:lineRule="exact"/>
        <w:jc w:val="center"/>
        <w:rPr>
          <w:b/>
          <w:sz w:val="28"/>
          <w:szCs w:val="28"/>
        </w:rPr>
      </w:pPr>
      <w:r>
        <w:rPr>
          <w:rFonts w:hint="eastAsia"/>
          <w:b/>
          <w:sz w:val="28"/>
          <w:szCs w:val="28"/>
        </w:rPr>
        <w:t>（一）投标函</w:t>
      </w:r>
    </w:p>
    <w:p>
      <w:pPr>
        <w:jc w:val="center"/>
        <w:rPr>
          <w:b/>
          <w:sz w:val="28"/>
          <w:szCs w:val="28"/>
        </w:rPr>
      </w:pPr>
    </w:p>
    <w:p>
      <w:pPr>
        <w:adjustRightInd w:val="0"/>
        <w:snapToGrid w:val="0"/>
        <w:spacing w:line="300" w:lineRule="auto"/>
        <w:jc w:val="left"/>
        <w:rPr>
          <w:rFonts w:ascii="宋体" w:hAnsi="宋体"/>
          <w:szCs w:val="21"/>
        </w:rPr>
      </w:pPr>
      <w:r>
        <w:rPr>
          <w:rFonts w:hint="eastAsia" w:ascii="宋体" w:hAnsi="宋体"/>
          <w:szCs w:val="21"/>
        </w:rPr>
        <w:t>（招标人名称）</w:t>
      </w:r>
    </w:p>
    <w:p>
      <w:pPr>
        <w:adjustRightInd w:val="0"/>
        <w:snapToGrid w:val="0"/>
        <w:spacing w:line="300" w:lineRule="auto"/>
        <w:ind w:firstLine="420" w:firstLineChars="200"/>
        <w:jc w:val="left"/>
        <w:rPr>
          <w:rFonts w:ascii="宋体" w:hAnsi="宋体" w:cs="宋体"/>
          <w:szCs w:val="21"/>
        </w:rPr>
      </w:pPr>
      <w:r>
        <w:rPr>
          <w:rFonts w:hint="eastAsia" w:ascii="宋体" w:hAnsi="宋体"/>
          <w:szCs w:val="21"/>
        </w:rPr>
        <w:t>1．我方已仔细研究了（项目名称）设备采购招标项目招标文件的全部内容，愿意以人民币（大写）</w:t>
      </w:r>
      <w:r>
        <w:rPr>
          <w:rFonts w:hint="eastAsia" w:ascii="宋体" w:hAnsi="宋体" w:cs="宋体"/>
          <w:w w:val="98"/>
          <w:szCs w:val="21"/>
        </w:rPr>
        <w:t>（¥）</w:t>
      </w:r>
      <w:r>
        <w:rPr>
          <w:rFonts w:hint="eastAsia" w:ascii="宋体" w:hAnsi="宋体" w:cs="宋体"/>
          <w:szCs w:val="21"/>
        </w:rPr>
        <w:t>的投标总报价（其中，增</w:t>
      </w:r>
      <w:r>
        <w:rPr>
          <w:rFonts w:hint="eastAsia" w:ascii="宋体" w:hAnsi="宋体"/>
          <w:szCs w:val="21"/>
        </w:rPr>
        <w:t>值税税率为</w:t>
      </w:r>
      <w:r>
        <w:rPr>
          <w:rFonts w:hint="eastAsia" w:ascii="宋体" w:hAnsi="宋体" w:cs="宋体"/>
          <w:w w:val="99"/>
          <w:szCs w:val="21"/>
        </w:rPr>
        <w:t>）</w:t>
      </w:r>
      <w:r>
        <w:rPr>
          <w:rFonts w:hint="eastAsia" w:ascii="宋体" w:hAnsi="宋体"/>
          <w:szCs w:val="21"/>
        </w:rPr>
        <w:t>，</w:t>
      </w:r>
      <w:r>
        <w:rPr>
          <w:rFonts w:ascii="宋体" w:hAnsi="宋体" w:cs="宋体"/>
          <w:spacing w:val="-2"/>
          <w:position w:val="-1"/>
          <w:szCs w:val="21"/>
        </w:rPr>
        <w:t>提供</w:t>
      </w:r>
      <w:r>
        <w:rPr>
          <w:rFonts w:ascii="宋体" w:hAnsi="宋体" w:cs="宋体"/>
          <w:spacing w:val="-2"/>
          <w:position w:val="-1"/>
          <w:szCs w:val="21"/>
          <w:u w:val="single"/>
        </w:rPr>
        <w:tab/>
      </w:r>
      <w:r>
        <w:rPr>
          <w:rFonts w:ascii="宋体" w:hAnsi="宋体" w:cs="宋体"/>
          <w:spacing w:val="-2"/>
          <w:position w:val="-1"/>
          <w:szCs w:val="21"/>
          <w:u w:val="single"/>
        </w:rPr>
        <w:tab/>
      </w:r>
      <w:r>
        <w:rPr>
          <w:rFonts w:ascii="宋体" w:hAnsi="宋体" w:cs="宋体"/>
          <w:spacing w:val="-2"/>
          <w:position w:val="-1"/>
          <w:szCs w:val="21"/>
        </w:rPr>
        <w:t>（设备名称及</w:t>
      </w:r>
      <w:r>
        <w:rPr>
          <w:rFonts w:hint="eastAsia" w:ascii="宋体" w:hAnsi="宋体" w:cs="宋体"/>
          <w:spacing w:val="-2"/>
          <w:position w:val="-1"/>
          <w:szCs w:val="21"/>
        </w:rPr>
        <w:t>技术服务和质保期服务</w:t>
      </w:r>
      <w:r>
        <w:rPr>
          <w:rFonts w:ascii="宋体" w:hAnsi="宋体" w:cs="宋体"/>
          <w:spacing w:val="-2"/>
          <w:position w:val="-1"/>
          <w:szCs w:val="21"/>
        </w:rPr>
        <w:t>），并按合同约定履行义务</w:t>
      </w:r>
      <w:r>
        <w:rPr>
          <w:rFonts w:hint="eastAsia" w:ascii="宋体" w:hAnsi="宋体"/>
          <w:szCs w:val="21"/>
        </w:rPr>
        <w:t>。</w:t>
      </w:r>
    </w:p>
    <w:p>
      <w:pPr>
        <w:adjustRightInd w:val="0"/>
        <w:snapToGrid w:val="0"/>
        <w:spacing w:line="300" w:lineRule="auto"/>
        <w:ind w:left="420"/>
        <w:jc w:val="left"/>
        <w:rPr>
          <w:rFonts w:ascii="宋体" w:hAnsi="宋体"/>
          <w:szCs w:val="21"/>
        </w:rPr>
      </w:pPr>
      <w:r>
        <w:rPr>
          <w:rFonts w:ascii="宋体" w:hAnsi="宋体"/>
          <w:szCs w:val="21"/>
        </w:rPr>
        <w:t xml:space="preserve">2. </w:t>
      </w:r>
      <w:r>
        <w:rPr>
          <w:rFonts w:hint="eastAsia" w:ascii="宋体" w:hAnsi="宋体"/>
          <w:szCs w:val="21"/>
        </w:rPr>
        <w:t>我方的投标文件包括下列内容：</w:t>
      </w:r>
    </w:p>
    <w:p>
      <w:pPr>
        <w:adjustRightInd w:val="0"/>
        <w:snapToGrid w:val="0"/>
        <w:spacing w:line="300" w:lineRule="auto"/>
        <w:ind w:left="400"/>
        <w:jc w:val="left"/>
        <w:rPr>
          <w:rFonts w:ascii="宋体" w:hAnsi="宋体"/>
          <w:szCs w:val="21"/>
        </w:rPr>
      </w:pPr>
      <w:r>
        <w:rPr>
          <w:rFonts w:hint="eastAsia" w:ascii="宋体" w:hAnsi="宋体"/>
          <w:szCs w:val="21"/>
        </w:rPr>
        <w:t>（1）投标函；</w:t>
      </w:r>
    </w:p>
    <w:p>
      <w:pPr>
        <w:adjustRightInd w:val="0"/>
        <w:snapToGrid w:val="0"/>
        <w:spacing w:line="300" w:lineRule="auto"/>
        <w:ind w:left="400"/>
        <w:jc w:val="left"/>
        <w:rPr>
          <w:rFonts w:ascii="宋体" w:hAnsi="宋体"/>
          <w:szCs w:val="21"/>
        </w:rPr>
      </w:pPr>
      <w:r>
        <w:rPr>
          <w:rFonts w:hint="eastAsia" w:ascii="宋体" w:hAnsi="宋体"/>
          <w:szCs w:val="21"/>
        </w:rPr>
        <w:t>（2）法定代表人（单位负责人）身份证明或授权委托书；</w:t>
      </w:r>
    </w:p>
    <w:p>
      <w:pPr>
        <w:adjustRightInd w:val="0"/>
        <w:snapToGrid w:val="0"/>
        <w:spacing w:line="300" w:lineRule="auto"/>
        <w:ind w:left="400"/>
        <w:jc w:val="left"/>
        <w:rPr>
          <w:rFonts w:ascii="宋体" w:hAnsi="宋体"/>
          <w:szCs w:val="21"/>
        </w:rPr>
      </w:pPr>
      <w:r>
        <w:rPr>
          <w:rFonts w:hint="eastAsia" w:ascii="宋体" w:hAnsi="宋体"/>
          <w:szCs w:val="21"/>
        </w:rPr>
        <w:t>（3）联合体协议书（如有）；</w:t>
      </w:r>
    </w:p>
    <w:p>
      <w:pPr>
        <w:adjustRightInd w:val="0"/>
        <w:snapToGrid w:val="0"/>
        <w:spacing w:line="300" w:lineRule="auto"/>
        <w:ind w:left="400"/>
        <w:jc w:val="left"/>
        <w:rPr>
          <w:rFonts w:ascii="宋体" w:hAnsi="宋体"/>
          <w:szCs w:val="21"/>
        </w:rPr>
      </w:pPr>
      <w:r>
        <w:rPr>
          <w:rFonts w:hint="eastAsia" w:ascii="宋体" w:hAnsi="宋体"/>
          <w:szCs w:val="21"/>
        </w:rPr>
        <w:t>（4）投标保证金（如有）；</w:t>
      </w:r>
    </w:p>
    <w:p>
      <w:pPr>
        <w:adjustRightInd w:val="0"/>
        <w:snapToGrid w:val="0"/>
        <w:spacing w:line="300" w:lineRule="auto"/>
        <w:ind w:left="400"/>
        <w:jc w:val="left"/>
        <w:rPr>
          <w:rFonts w:ascii="宋体" w:hAnsi="宋体"/>
          <w:szCs w:val="21"/>
        </w:rPr>
      </w:pPr>
      <w:r>
        <w:rPr>
          <w:rFonts w:hint="eastAsia" w:ascii="宋体" w:hAnsi="宋体"/>
          <w:szCs w:val="21"/>
        </w:rPr>
        <w:t>（5）商务和技术偏差表；</w:t>
      </w:r>
    </w:p>
    <w:p>
      <w:pPr>
        <w:adjustRightInd w:val="0"/>
        <w:snapToGrid w:val="0"/>
        <w:spacing w:line="300" w:lineRule="auto"/>
        <w:ind w:left="400"/>
        <w:jc w:val="left"/>
        <w:rPr>
          <w:rFonts w:ascii="宋体" w:hAnsi="宋体"/>
          <w:szCs w:val="21"/>
        </w:rPr>
      </w:pPr>
      <w:r>
        <w:rPr>
          <w:rFonts w:hint="eastAsia" w:ascii="宋体" w:hAnsi="宋体"/>
          <w:szCs w:val="21"/>
        </w:rPr>
        <w:t>（6）分项报价表；</w:t>
      </w:r>
    </w:p>
    <w:p>
      <w:pPr>
        <w:adjustRightInd w:val="0"/>
        <w:snapToGrid w:val="0"/>
        <w:spacing w:line="300" w:lineRule="auto"/>
        <w:ind w:left="400"/>
        <w:jc w:val="left"/>
        <w:rPr>
          <w:rFonts w:ascii="宋体" w:hAnsi="宋体"/>
          <w:szCs w:val="21"/>
        </w:rPr>
      </w:pPr>
      <w:r>
        <w:rPr>
          <w:rFonts w:hint="eastAsia" w:ascii="宋体" w:hAnsi="宋体"/>
          <w:szCs w:val="21"/>
        </w:rPr>
        <w:t>（7）资格审查资料；</w:t>
      </w:r>
    </w:p>
    <w:p>
      <w:pPr>
        <w:adjustRightInd w:val="0"/>
        <w:snapToGrid w:val="0"/>
        <w:spacing w:line="300" w:lineRule="auto"/>
        <w:ind w:left="400"/>
        <w:jc w:val="left"/>
        <w:rPr>
          <w:rFonts w:ascii="宋体" w:hAnsi="宋体"/>
          <w:szCs w:val="21"/>
        </w:rPr>
      </w:pPr>
      <w:r>
        <w:rPr>
          <w:rFonts w:hint="eastAsia" w:ascii="宋体" w:hAnsi="宋体"/>
          <w:szCs w:val="21"/>
        </w:rPr>
        <w:t>（8）投标设备技术性能指标的详细描述；</w:t>
      </w:r>
    </w:p>
    <w:p>
      <w:pPr>
        <w:adjustRightInd w:val="0"/>
        <w:snapToGrid w:val="0"/>
        <w:spacing w:line="300" w:lineRule="auto"/>
        <w:ind w:left="400"/>
        <w:jc w:val="left"/>
        <w:rPr>
          <w:rFonts w:ascii="宋体" w:hAnsi="宋体"/>
          <w:szCs w:val="21"/>
        </w:rPr>
      </w:pPr>
      <w:r>
        <w:rPr>
          <w:rFonts w:hint="eastAsia" w:ascii="宋体" w:hAnsi="宋体"/>
          <w:szCs w:val="21"/>
        </w:rPr>
        <w:t>（9）技术支持资料；</w:t>
      </w:r>
    </w:p>
    <w:p>
      <w:pPr>
        <w:adjustRightInd w:val="0"/>
        <w:snapToGrid w:val="0"/>
        <w:spacing w:line="300" w:lineRule="auto"/>
        <w:ind w:left="400"/>
        <w:jc w:val="left"/>
        <w:rPr>
          <w:rFonts w:ascii="宋体" w:hAnsi="宋体"/>
          <w:szCs w:val="21"/>
        </w:rPr>
      </w:pPr>
      <w:r>
        <w:rPr>
          <w:rFonts w:hint="eastAsia" w:ascii="宋体" w:hAnsi="宋体"/>
          <w:szCs w:val="21"/>
        </w:rPr>
        <w:t>（10）技术服务和质保期服务计划；</w:t>
      </w:r>
    </w:p>
    <w:p>
      <w:pPr>
        <w:adjustRightInd w:val="0"/>
        <w:snapToGrid w:val="0"/>
        <w:spacing w:line="300" w:lineRule="auto"/>
        <w:ind w:left="400"/>
        <w:jc w:val="left"/>
        <w:rPr>
          <w:rFonts w:ascii="宋体" w:hAnsi="宋体"/>
          <w:szCs w:val="21"/>
        </w:rPr>
      </w:pPr>
      <w:r>
        <w:rPr>
          <w:rFonts w:ascii="宋体" w:hAnsi="宋体"/>
          <w:szCs w:val="21"/>
        </w:rPr>
        <w:t>……</w:t>
      </w:r>
    </w:p>
    <w:p>
      <w:pPr>
        <w:adjustRightInd w:val="0"/>
        <w:snapToGrid w:val="0"/>
        <w:spacing w:line="300" w:lineRule="auto"/>
        <w:ind w:left="420"/>
        <w:jc w:val="left"/>
        <w:rPr>
          <w:rFonts w:ascii="宋体" w:hAnsi="宋体"/>
          <w:szCs w:val="21"/>
        </w:rPr>
      </w:pPr>
      <w:r>
        <w:rPr>
          <w:rFonts w:hint="eastAsia" w:ascii="宋体" w:hAnsi="宋体"/>
          <w:szCs w:val="21"/>
        </w:rPr>
        <w:t>投标文件的上述组成部分如存在内容不一致的，以投标函为准。</w:t>
      </w:r>
    </w:p>
    <w:p>
      <w:pPr>
        <w:adjustRightInd w:val="0"/>
        <w:snapToGrid w:val="0"/>
        <w:spacing w:line="300" w:lineRule="auto"/>
        <w:ind w:left="420"/>
        <w:jc w:val="left"/>
        <w:rPr>
          <w:rFonts w:ascii="宋体" w:hAnsi="宋体"/>
          <w:szCs w:val="21"/>
        </w:rPr>
      </w:pPr>
      <w:r>
        <w:rPr>
          <w:rFonts w:hint="eastAsia" w:ascii="宋体" w:hAnsi="宋体"/>
          <w:szCs w:val="21"/>
        </w:rPr>
        <w:t>3．我方承诺除商务和技术偏差表列出的偏差外，我方响应招标文件的全部要求。</w:t>
      </w:r>
    </w:p>
    <w:p>
      <w:pPr>
        <w:adjustRightInd w:val="0"/>
        <w:snapToGrid w:val="0"/>
        <w:spacing w:line="300" w:lineRule="auto"/>
        <w:ind w:left="420"/>
        <w:jc w:val="left"/>
        <w:rPr>
          <w:rFonts w:ascii="宋体" w:hAnsi="宋体"/>
          <w:szCs w:val="21"/>
        </w:rPr>
      </w:pPr>
      <w:r>
        <w:rPr>
          <w:rFonts w:hint="eastAsia" w:ascii="宋体" w:hAnsi="宋体"/>
          <w:szCs w:val="21"/>
        </w:rPr>
        <w:t>4．我方承诺在招标文件规定的投标有效期内不撤销投标文件。</w:t>
      </w:r>
    </w:p>
    <w:p>
      <w:pPr>
        <w:adjustRightInd w:val="0"/>
        <w:snapToGrid w:val="0"/>
        <w:spacing w:line="300" w:lineRule="auto"/>
        <w:ind w:left="420"/>
        <w:jc w:val="left"/>
        <w:rPr>
          <w:rFonts w:ascii="宋体" w:hAnsi="宋体"/>
          <w:szCs w:val="21"/>
        </w:rPr>
      </w:pPr>
      <w:r>
        <w:rPr>
          <w:rFonts w:hint="eastAsia" w:ascii="宋体" w:hAnsi="宋体"/>
          <w:szCs w:val="21"/>
        </w:rPr>
        <w:t>5．如我方中标，我方承诺：</w:t>
      </w:r>
    </w:p>
    <w:p>
      <w:pPr>
        <w:adjustRightInd w:val="0"/>
        <w:snapToGrid w:val="0"/>
        <w:spacing w:line="300" w:lineRule="auto"/>
        <w:ind w:left="420"/>
        <w:jc w:val="left"/>
        <w:rPr>
          <w:rFonts w:ascii="宋体" w:hAnsi="宋体"/>
          <w:szCs w:val="21"/>
        </w:rPr>
      </w:pPr>
      <w:r>
        <w:rPr>
          <w:rFonts w:hint="eastAsia" w:ascii="宋体" w:hAnsi="宋体"/>
          <w:szCs w:val="21"/>
        </w:rPr>
        <w:t>（1）在收到中标通知书后，在中标通知书规定的期限内与你方签订合同；</w:t>
      </w:r>
    </w:p>
    <w:p>
      <w:pPr>
        <w:adjustRightInd w:val="0"/>
        <w:snapToGrid w:val="0"/>
        <w:spacing w:line="300" w:lineRule="auto"/>
        <w:ind w:left="420"/>
        <w:jc w:val="left"/>
        <w:rPr>
          <w:rFonts w:ascii="宋体" w:hAnsi="宋体"/>
          <w:szCs w:val="21"/>
        </w:rPr>
      </w:pPr>
      <w:r>
        <w:rPr>
          <w:rFonts w:hint="eastAsia" w:ascii="宋体" w:hAnsi="宋体"/>
          <w:szCs w:val="21"/>
        </w:rPr>
        <w:t>（2）在签订合同时不向你方提出附加条件；</w:t>
      </w:r>
    </w:p>
    <w:p>
      <w:pPr>
        <w:adjustRightInd w:val="0"/>
        <w:snapToGrid w:val="0"/>
        <w:spacing w:line="300" w:lineRule="auto"/>
        <w:ind w:left="420"/>
        <w:jc w:val="left"/>
        <w:rPr>
          <w:rFonts w:ascii="宋体" w:hAnsi="宋体"/>
          <w:szCs w:val="21"/>
        </w:rPr>
      </w:pPr>
      <w:r>
        <w:rPr>
          <w:rFonts w:hint="eastAsia" w:ascii="宋体" w:hAnsi="宋体"/>
          <w:szCs w:val="21"/>
        </w:rPr>
        <w:t>（3）按照招标文件要求提交履约保证金；</w:t>
      </w:r>
    </w:p>
    <w:p>
      <w:pPr>
        <w:adjustRightInd w:val="0"/>
        <w:snapToGrid w:val="0"/>
        <w:spacing w:line="300" w:lineRule="auto"/>
        <w:ind w:left="420"/>
        <w:jc w:val="left"/>
        <w:rPr>
          <w:rFonts w:ascii="宋体" w:hAnsi="宋体"/>
          <w:szCs w:val="21"/>
        </w:rPr>
      </w:pPr>
      <w:r>
        <w:rPr>
          <w:rFonts w:hint="eastAsia" w:ascii="宋体" w:hAnsi="宋体"/>
          <w:szCs w:val="21"/>
        </w:rPr>
        <w:t>（4）在合同约定的期限内完成合同规定的全部义务。</w:t>
      </w:r>
    </w:p>
    <w:p>
      <w:pPr>
        <w:adjustRightInd w:val="0"/>
        <w:snapToGrid w:val="0"/>
        <w:spacing w:line="300" w:lineRule="auto"/>
        <w:ind w:left="420"/>
        <w:jc w:val="left"/>
        <w:rPr>
          <w:rFonts w:ascii="宋体" w:hAnsi="宋体"/>
          <w:szCs w:val="21"/>
        </w:rPr>
      </w:pPr>
      <w:r>
        <w:rPr>
          <w:rFonts w:hint="eastAsia" w:ascii="宋体" w:hAnsi="宋体"/>
          <w:szCs w:val="21"/>
        </w:rPr>
        <w:t>6．我方在此声明，所递交的投标文件及有关资料内容完整、真实和准确，且不存在第二章“投标人须知”第 1.4.3 项规定的任何一种情形。</w:t>
      </w:r>
    </w:p>
    <w:p>
      <w:pPr>
        <w:adjustRightInd w:val="0"/>
        <w:snapToGrid w:val="0"/>
        <w:spacing w:line="300" w:lineRule="auto"/>
        <w:ind w:left="420"/>
        <w:jc w:val="left"/>
        <w:rPr>
          <w:rFonts w:ascii="宋体" w:hAnsi="宋体"/>
          <w:szCs w:val="21"/>
        </w:rPr>
      </w:pPr>
      <w:r>
        <w:rPr>
          <w:rFonts w:hint="eastAsia" w:ascii="宋体" w:hAnsi="宋体"/>
          <w:szCs w:val="21"/>
        </w:rPr>
        <w:t>7.                        （其他补充说明）。</w:t>
      </w:r>
    </w:p>
    <w:p>
      <w:pPr>
        <w:tabs>
          <w:tab w:val="left" w:pos="4600"/>
        </w:tabs>
        <w:adjustRightInd w:val="0"/>
        <w:snapToGrid w:val="0"/>
        <w:spacing w:line="300" w:lineRule="auto"/>
        <w:ind w:left="3578" w:leftChars="1704"/>
        <w:jc w:val="left"/>
        <w:rPr>
          <w:rFonts w:ascii="宋体" w:hAnsi="宋体"/>
          <w:szCs w:val="21"/>
        </w:rPr>
      </w:pPr>
      <w:bookmarkStart w:id="216" w:name="page73"/>
      <w:bookmarkEnd w:id="216"/>
      <w:r>
        <w:rPr>
          <w:rFonts w:hint="eastAsia" w:ascii="宋体" w:hAnsi="宋体"/>
          <w:szCs w:val="21"/>
        </w:rPr>
        <w:t>投 标 人：</w:t>
      </w:r>
      <w:r>
        <w:rPr>
          <w:rFonts w:ascii="宋体" w:hAnsi="宋体"/>
          <w:szCs w:val="21"/>
          <w:u w:val="single"/>
        </w:rPr>
        <w:tab/>
      </w:r>
      <w:r>
        <w:rPr>
          <w:rFonts w:hint="eastAsia" w:ascii="宋体" w:hAnsi="宋体"/>
          <w:szCs w:val="21"/>
        </w:rPr>
        <w:t>（盖单位章）</w:t>
      </w:r>
    </w:p>
    <w:p>
      <w:pPr>
        <w:tabs>
          <w:tab w:val="left" w:pos="5020"/>
        </w:tabs>
        <w:adjustRightInd w:val="0"/>
        <w:snapToGrid w:val="0"/>
        <w:spacing w:line="300" w:lineRule="auto"/>
        <w:ind w:left="3578" w:leftChars="1704"/>
        <w:jc w:val="left"/>
        <w:rPr>
          <w:rFonts w:ascii="宋体" w:hAnsi="宋体"/>
          <w:szCs w:val="21"/>
        </w:rPr>
      </w:pPr>
      <w:r>
        <w:rPr>
          <w:rFonts w:hint="eastAsia" w:ascii="宋体" w:hAnsi="宋体"/>
          <w:szCs w:val="21"/>
        </w:rPr>
        <w:t>法定代表人或其委托代理人：</w:t>
      </w:r>
      <w:r>
        <w:rPr>
          <w:rFonts w:ascii="宋体" w:hAnsi="宋体"/>
          <w:szCs w:val="21"/>
          <w:u w:val="single"/>
        </w:rPr>
        <w:tab/>
      </w:r>
      <w:r>
        <w:rPr>
          <w:rFonts w:hint="eastAsia" w:ascii="宋体" w:hAnsi="宋体"/>
          <w:szCs w:val="21"/>
        </w:rPr>
        <w:t>（签字）</w:t>
      </w:r>
    </w:p>
    <w:p>
      <w:pPr>
        <w:tabs>
          <w:tab w:val="left" w:pos="620"/>
        </w:tabs>
        <w:adjustRightInd w:val="0"/>
        <w:snapToGrid w:val="0"/>
        <w:spacing w:line="300" w:lineRule="auto"/>
        <w:ind w:left="3578" w:leftChars="1704"/>
        <w:jc w:val="left"/>
        <w:rPr>
          <w:rFonts w:ascii="宋体" w:hAnsi="宋体"/>
          <w:szCs w:val="21"/>
        </w:rPr>
      </w:pPr>
      <w:r>
        <w:rPr>
          <w:rFonts w:hint="eastAsia" w:ascii="宋体" w:hAnsi="宋体"/>
          <w:szCs w:val="21"/>
        </w:rPr>
        <w:t>地</w:t>
      </w:r>
      <w:r>
        <w:rPr>
          <w:rFonts w:ascii="宋体" w:hAnsi="宋体"/>
          <w:szCs w:val="21"/>
        </w:rPr>
        <w:tab/>
      </w:r>
      <w:r>
        <w:rPr>
          <w:rFonts w:hint="eastAsia" w:ascii="宋体" w:hAnsi="宋体"/>
          <w:szCs w:val="21"/>
        </w:rPr>
        <w:t>址：</w:t>
      </w:r>
      <w:r>
        <w:rPr>
          <w:rFonts w:ascii="宋体" w:hAnsi="宋体"/>
          <w:szCs w:val="21"/>
          <w:u w:val="single"/>
        </w:rPr>
        <w:tab/>
      </w:r>
    </w:p>
    <w:p>
      <w:pPr>
        <w:tabs>
          <w:tab w:val="left" w:pos="620"/>
        </w:tabs>
        <w:adjustRightInd w:val="0"/>
        <w:snapToGrid w:val="0"/>
        <w:spacing w:line="300" w:lineRule="auto"/>
        <w:ind w:left="3578" w:leftChars="1704"/>
        <w:jc w:val="left"/>
        <w:rPr>
          <w:rFonts w:ascii="宋体" w:hAnsi="宋体"/>
          <w:szCs w:val="21"/>
        </w:rPr>
      </w:pPr>
      <w:r>
        <w:rPr>
          <w:rFonts w:hint="eastAsia" w:ascii="宋体" w:hAnsi="宋体"/>
          <w:szCs w:val="21"/>
        </w:rPr>
        <w:t>网</w:t>
      </w:r>
      <w:r>
        <w:rPr>
          <w:rFonts w:ascii="宋体" w:hAnsi="宋体"/>
          <w:szCs w:val="21"/>
        </w:rPr>
        <w:tab/>
      </w:r>
      <w:r>
        <w:rPr>
          <w:rFonts w:hint="eastAsia" w:ascii="宋体" w:hAnsi="宋体"/>
          <w:szCs w:val="21"/>
        </w:rPr>
        <w:t>址：</w:t>
      </w:r>
      <w:r>
        <w:rPr>
          <w:rFonts w:ascii="宋体" w:hAnsi="宋体"/>
          <w:szCs w:val="21"/>
          <w:u w:val="single"/>
        </w:rPr>
        <w:tab/>
      </w:r>
    </w:p>
    <w:p>
      <w:pPr>
        <w:tabs>
          <w:tab w:val="left" w:pos="620"/>
        </w:tabs>
        <w:adjustRightInd w:val="0"/>
        <w:snapToGrid w:val="0"/>
        <w:spacing w:line="300" w:lineRule="auto"/>
        <w:ind w:left="3578" w:leftChars="1704"/>
        <w:jc w:val="left"/>
        <w:rPr>
          <w:rFonts w:ascii="宋体" w:hAnsi="宋体"/>
          <w:szCs w:val="21"/>
        </w:rPr>
      </w:pPr>
      <w:r>
        <w:rPr>
          <w:rFonts w:hint="eastAsia" w:ascii="宋体" w:hAnsi="宋体"/>
          <w:szCs w:val="21"/>
        </w:rPr>
        <w:t>电</w:t>
      </w:r>
      <w:r>
        <w:rPr>
          <w:rFonts w:ascii="宋体" w:hAnsi="宋体"/>
          <w:szCs w:val="21"/>
        </w:rPr>
        <w:tab/>
      </w:r>
      <w:r>
        <w:rPr>
          <w:rFonts w:hint="eastAsia" w:ascii="宋体" w:hAnsi="宋体"/>
          <w:szCs w:val="21"/>
        </w:rPr>
        <w:t>话：</w:t>
      </w:r>
      <w:r>
        <w:rPr>
          <w:rFonts w:ascii="宋体" w:hAnsi="宋体"/>
          <w:szCs w:val="21"/>
          <w:u w:val="single"/>
        </w:rPr>
        <w:tab/>
      </w:r>
    </w:p>
    <w:p>
      <w:pPr>
        <w:tabs>
          <w:tab w:val="left" w:pos="620"/>
        </w:tabs>
        <w:adjustRightInd w:val="0"/>
        <w:snapToGrid w:val="0"/>
        <w:spacing w:line="300" w:lineRule="auto"/>
        <w:ind w:left="3578" w:leftChars="1704"/>
        <w:jc w:val="left"/>
        <w:rPr>
          <w:rFonts w:ascii="宋体" w:hAnsi="宋体"/>
          <w:szCs w:val="21"/>
        </w:rPr>
      </w:pPr>
      <w:r>
        <w:rPr>
          <w:rFonts w:hint="eastAsia" w:ascii="宋体" w:hAnsi="宋体"/>
          <w:szCs w:val="21"/>
        </w:rPr>
        <w:t>传</w:t>
      </w:r>
      <w:r>
        <w:rPr>
          <w:rFonts w:ascii="宋体" w:hAnsi="宋体"/>
          <w:szCs w:val="21"/>
        </w:rPr>
        <w:tab/>
      </w:r>
      <w:r>
        <w:rPr>
          <w:rFonts w:hint="eastAsia" w:ascii="宋体" w:hAnsi="宋体"/>
          <w:szCs w:val="21"/>
        </w:rPr>
        <w:t>真：</w:t>
      </w:r>
      <w:r>
        <w:rPr>
          <w:rFonts w:ascii="宋体" w:hAnsi="宋体"/>
          <w:szCs w:val="21"/>
          <w:u w:val="single"/>
        </w:rPr>
        <w:tab/>
      </w:r>
    </w:p>
    <w:p>
      <w:pPr>
        <w:adjustRightInd w:val="0"/>
        <w:snapToGrid w:val="0"/>
        <w:spacing w:line="300" w:lineRule="auto"/>
        <w:ind w:left="3578" w:leftChars="1704"/>
        <w:jc w:val="left"/>
        <w:rPr>
          <w:rFonts w:ascii="宋体" w:hAnsi="宋体"/>
          <w:szCs w:val="21"/>
        </w:rPr>
      </w:pPr>
      <w:r>
        <w:rPr>
          <w:rFonts w:hint="eastAsia" w:ascii="宋体" w:hAnsi="宋体"/>
          <w:szCs w:val="21"/>
        </w:rPr>
        <w:t>邮政编码：</w:t>
      </w:r>
      <w:r>
        <w:rPr>
          <w:rFonts w:ascii="宋体" w:hAnsi="宋体"/>
          <w:szCs w:val="21"/>
          <w:u w:val="single"/>
        </w:rPr>
        <w:tab/>
      </w:r>
    </w:p>
    <w:p>
      <w:pPr>
        <w:tabs>
          <w:tab w:val="left" w:pos="5060"/>
          <w:tab w:val="left" w:pos="5900"/>
        </w:tabs>
        <w:overflowPunct w:val="0"/>
        <w:adjustRightInd w:val="0"/>
        <w:snapToGrid w:val="0"/>
        <w:spacing w:line="300" w:lineRule="auto"/>
        <w:ind w:left="3578" w:leftChars="1704"/>
        <w:jc w:val="right"/>
        <w:rPr>
          <w:rFonts w:ascii="宋体" w:hAnsi="宋体"/>
          <w:szCs w:val="21"/>
        </w:rPr>
      </w:pPr>
      <w:r>
        <w:rPr>
          <w:rFonts w:hint="eastAsia" w:ascii="宋体" w:hAnsi="宋体"/>
          <w:szCs w:val="21"/>
        </w:rPr>
        <w:t>年       月</w:t>
      </w:r>
      <w:r>
        <w:rPr>
          <w:rFonts w:ascii="宋体" w:hAnsi="宋体"/>
          <w:szCs w:val="21"/>
        </w:rPr>
        <w:tab/>
      </w:r>
      <w:r>
        <w:rPr>
          <w:rFonts w:hint="eastAsia" w:ascii="宋体" w:hAnsi="宋体"/>
          <w:szCs w:val="21"/>
        </w:rPr>
        <w:t xml:space="preserve">   日</w:t>
      </w:r>
    </w:p>
    <w:p>
      <w:pPr>
        <w:pStyle w:val="4"/>
        <w:spacing w:before="0" w:after="0" w:line="500" w:lineRule="exact"/>
        <w:jc w:val="center"/>
        <w:rPr>
          <w:rFonts w:hint="eastAsia" w:ascii="宋体" w:hAnsi="宋体"/>
        </w:rPr>
      </w:pPr>
      <w:r>
        <w:rPr>
          <w:rFonts w:hint="eastAsia" w:ascii="宋体" w:hAnsi="宋体"/>
          <w:lang w:val="en-US" w:eastAsia="zh-CN"/>
        </w:rPr>
        <w:t>二、</w:t>
      </w:r>
      <w:r>
        <w:rPr>
          <w:rFonts w:hint="eastAsia" w:ascii="宋体" w:hAnsi="宋体"/>
        </w:rPr>
        <w:t>开标一览表</w:t>
      </w:r>
    </w:p>
    <w:p>
      <w:pPr>
        <w:snapToGrid w:val="0"/>
        <w:spacing w:line="320" w:lineRule="exact"/>
        <w:jc w:val="left"/>
        <w:rPr>
          <w:rFonts w:ascii="宋体" w:hAnsi="宋体"/>
          <w:sz w:val="24"/>
        </w:rPr>
      </w:pPr>
      <w:r>
        <w:rPr>
          <w:rFonts w:hint="eastAsia"/>
          <w:sz w:val="24"/>
        </w:rPr>
        <w:t>项目名称：</w:t>
      </w:r>
    </w:p>
    <w:p>
      <w:pPr>
        <w:snapToGrid w:val="0"/>
        <w:spacing w:line="320" w:lineRule="exact"/>
        <w:ind w:left="4680" w:hanging="4680" w:hangingChars="1950"/>
        <w:jc w:val="left"/>
        <w:rPr>
          <w:sz w:val="24"/>
        </w:rPr>
      </w:pPr>
      <w:r>
        <w:rPr>
          <w:rFonts w:hint="eastAsia"/>
          <w:sz w:val="24"/>
        </w:rPr>
        <w:t>招标编号：开标时间：年月日</w:t>
      </w:r>
    </w:p>
    <w:tbl>
      <w:tblPr>
        <w:tblStyle w:val="68"/>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918"/>
        <w:gridCol w:w="2793"/>
        <w:gridCol w:w="2300"/>
        <w:gridCol w:w="244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731" w:hRule="atLeast"/>
        </w:trPr>
        <w:tc>
          <w:tcPr>
            <w:tcW w:w="1014" w:type="pct"/>
            <w:vAlign w:val="center"/>
          </w:tcPr>
          <w:p>
            <w:pPr>
              <w:jc w:val="center"/>
              <w:rPr>
                <w:rFonts w:ascii="宋体" w:hAnsi="宋体"/>
                <w:sz w:val="24"/>
              </w:rPr>
            </w:pPr>
            <w:r>
              <w:rPr>
                <w:rFonts w:hint="eastAsia" w:ascii="宋体" w:hAnsi="宋体"/>
                <w:sz w:val="24"/>
              </w:rPr>
              <w:t>投标单位</w:t>
            </w:r>
          </w:p>
        </w:tc>
        <w:tc>
          <w:tcPr>
            <w:tcW w:w="1477" w:type="pct"/>
            <w:vAlign w:val="center"/>
          </w:tcPr>
          <w:p>
            <w:pPr>
              <w:jc w:val="center"/>
              <w:rPr>
                <w:rFonts w:ascii="宋体" w:hAnsi="宋体"/>
                <w:sz w:val="24"/>
              </w:rPr>
            </w:pPr>
            <w:r>
              <w:rPr>
                <w:rFonts w:hint="eastAsia" w:ascii="宋体" w:hAnsi="宋体"/>
                <w:sz w:val="24"/>
              </w:rPr>
              <w:t>投标报价</w:t>
            </w:r>
          </w:p>
          <w:p>
            <w:pPr>
              <w:jc w:val="center"/>
              <w:rPr>
                <w:rFonts w:ascii="宋体" w:hAnsi="宋体"/>
                <w:sz w:val="24"/>
              </w:rPr>
            </w:pPr>
            <w:r>
              <w:rPr>
                <w:rFonts w:hint="eastAsia" w:ascii="宋体" w:hAnsi="宋体"/>
                <w:sz w:val="24"/>
              </w:rPr>
              <w:t>（元）</w:t>
            </w:r>
          </w:p>
        </w:tc>
        <w:tc>
          <w:tcPr>
            <w:tcW w:w="1216" w:type="pct"/>
            <w:tcBorders>
              <w:right w:val="single" w:color="auto" w:sz="2" w:space="0"/>
            </w:tcBorders>
            <w:vAlign w:val="center"/>
          </w:tcPr>
          <w:p>
            <w:pPr>
              <w:jc w:val="center"/>
              <w:rPr>
                <w:rFonts w:ascii="宋体" w:hAnsi="宋体"/>
                <w:sz w:val="24"/>
              </w:rPr>
            </w:pPr>
            <w:r>
              <w:rPr>
                <w:rFonts w:hint="eastAsia" w:ascii="宋体" w:hAnsi="宋体"/>
                <w:sz w:val="24"/>
              </w:rPr>
              <w:t>投标保证金</w:t>
            </w:r>
          </w:p>
          <w:p>
            <w:pPr>
              <w:jc w:val="center"/>
              <w:rPr>
                <w:rFonts w:ascii="宋体" w:hAnsi="宋体"/>
                <w:sz w:val="24"/>
              </w:rPr>
            </w:pPr>
            <w:r>
              <w:rPr>
                <w:rFonts w:hint="eastAsia" w:ascii="宋体" w:hAnsi="宋体"/>
                <w:sz w:val="24"/>
              </w:rPr>
              <w:t>（有/无）</w:t>
            </w:r>
          </w:p>
        </w:tc>
        <w:tc>
          <w:tcPr>
            <w:tcW w:w="1293" w:type="pct"/>
            <w:tcBorders>
              <w:left w:val="single" w:color="auto" w:sz="2" w:space="0"/>
            </w:tcBorders>
            <w:vAlign w:val="center"/>
          </w:tcPr>
          <w:p>
            <w:pPr>
              <w:jc w:val="center"/>
              <w:rPr>
                <w:rFonts w:ascii="宋体" w:hAnsi="宋体"/>
                <w:color w:val="000000"/>
                <w:sz w:val="24"/>
              </w:rPr>
            </w:pPr>
            <w:r>
              <w:rPr>
                <w:rFonts w:hint="eastAsia" w:ascii="宋体" w:hAnsi="宋体"/>
                <w:bCs/>
                <w:sz w:val="24"/>
              </w:rPr>
              <w:t>交货日期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731" w:hRule="atLeast"/>
        </w:trPr>
        <w:tc>
          <w:tcPr>
            <w:tcW w:w="1014" w:type="pct"/>
            <w:vAlign w:val="center"/>
          </w:tcPr>
          <w:p>
            <w:pPr>
              <w:jc w:val="center"/>
              <w:rPr>
                <w:rFonts w:ascii="宋体" w:hAnsi="宋体"/>
                <w:sz w:val="24"/>
              </w:rPr>
            </w:pPr>
          </w:p>
        </w:tc>
        <w:tc>
          <w:tcPr>
            <w:tcW w:w="1477" w:type="pct"/>
            <w:vAlign w:val="center"/>
          </w:tcPr>
          <w:p>
            <w:pPr>
              <w:ind w:left="343" w:hanging="343" w:hangingChars="143"/>
              <w:jc w:val="center"/>
              <w:rPr>
                <w:rFonts w:ascii="宋体" w:hAnsi="宋体"/>
                <w:sz w:val="24"/>
              </w:rPr>
            </w:pPr>
          </w:p>
        </w:tc>
        <w:tc>
          <w:tcPr>
            <w:tcW w:w="1216" w:type="pct"/>
            <w:tcBorders>
              <w:right w:val="single" w:color="auto" w:sz="2" w:space="0"/>
            </w:tcBorders>
            <w:vAlign w:val="center"/>
          </w:tcPr>
          <w:p>
            <w:pPr>
              <w:jc w:val="center"/>
              <w:rPr>
                <w:rFonts w:ascii="宋体" w:hAnsi="宋体"/>
                <w:sz w:val="24"/>
              </w:rPr>
            </w:pPr>
          </w:p>
        </w:tc>
        <w:tc>
          <w:tcPr>
            <w:tcW w:w="1293" w:type="pct"/>
            <w:tcBorders>
              <w:left w:val="single" w:color="auto" w:sz="2" w:space="0"/>
            </w:tcBorders>
            <w:vAlign w:val="center"/>
          </w:tcPr>
          <w:p>
            <w:pPr>
              <w:jc w:val="center"/>
              <w:rPr>
                <w:rFonts w:ascii="宋体" w:hAnsi="宋体"/>
                <w:sz w:val="24"/>
              </w:rPr>
            </w:pPr>
          </w:p>
        </w:tc>
      </w:tr>
    </w:tbl>
    <w:p>
      <w:pPr>
        <w:jc w:val="left"/>
        <w:rPr>
          <w:sz w:val="28"/>
        </w:rPr>
      </w:pPr>
    </w:p>
    <w:p>
      <w:pPr>
        <w:jc w:val="left"/>
        <w:rPr>
          <w:rFonts w:ascii="宋体" w:hAnsi="宋体"/>
          <w:color w:val="000000"/>
          <w:sz w:val="24"/>
        </w:rPr>
      </w:pPr>
      <w:r>
        <w:rPr>
          <w:rFonts w:hint="eastAsia"/>
          <w:color w:val="000000"/>
          <w:sz w:val="24"/>
        </w:rPr>
        <w:t>备注：1、此表应</w:t>
      </w:r>
      <w:r>
        <w:rPr>
          <w:rFonts w:hint="eastAsia" w:ascii="宋体" w:hAnsi="宋体"/>
          <w:color w:val="000000"/>
          <w:sz w:val="24"/>
        </w:rPr>
        <w:t>单独用信封密封一份，与投标文件一同递交，</w:t>
      </w:r>
      <w:r>
        <w:rPr>
          <w:rFonts w:hint="eastAsia"/>
          <w:bCs/>
          <w:sz w:val="24"/>
        </w:rPr>
        <w:t>为开标时唱标用。</w:t>
      </w:r>
    </w:p>
    <w:p>
      <w:pPr>
        <w:rPr>
          <w:sz w:val="24"/>
        </w:rPr>
      </w:pPr>
    </w:p>
    <w:p>
      <w:pPr>
        <w:jc w:val="left"/>
        <w:rPr>
          <w:color w:val="FF0000"/>
          <w:sz w:val="28"/>
        </w:rPr>
      </w:pPr>
    </w:p>
    <w:p>
      <w:pPr>
        <w:jc w:val="left"/>
        <w:rPr>
          <w:color w:val="FF0000"/>
          <w:sz w:val="28"/>
        </w:rPr>
      </w:pPr>
    </w:p>
    <w:p>
      <w:pPr>
        <w:jc w:val="left"/>
        <w:rPr>
          <w:sz w:val="28"/>
        </w:rPr>
      </w:pPr>
    </w:p>
    <w:p>
      <w:pPr>
        <w:jc w:val="left"/>
        <w:rPr>
          <w:sz w:val="28"/>
        </w:rPr>
      </w:pPr>
    </w:p>
    <w:p>
      <w:pPr>
        <w:ind w:firstLine="3523" w:firstLineChars="1468"/>
        <w:jc w:val="left"/>
        <w:rPr>
          <w:sz w:val="24"/>
        </w:rPr>
      </w:pPr>
      <w:r>
        <w:rPr>
          <w:rFonts w:hint="eastAsia"/>
          <w:sz w:val="24"/>
        </w:rPr>
        <w:t>投标单位：（盖单位章）</w:t>
      </w:r>
    </w:p>
    <w:p>
      <w:pPr>
        <w:ind w:firstLine="3523" w:firstLineChars="1468"/>
        <w:jc w:val="left"/>
        <w:rPr>
          <w:sz w:val="24"/>
        </w:rPr>
      </w:pPr>
    </w:p>
    <w:p>
      <w:pPr>
        <w:ind w:firstLine="3523" w:firstLineChars="1468"/>
        <w:jc w:val="left"/>
        <w:rPr>
          <w:rFonts w:hint="eastAsia"/>
          <w:sz w:val="24"/>
        </w:rPr>
      </w:pPr>
      <w:r>
        <w:rPr>
          <w:rFonts w:hint="eastAsia"/>
          <w:sz w:val="24"/>
        </w:rPr>
        <w:t>法定代表人（或委托代理人）：（签字或盖章）</w:t>
      </w:r>
    </w:p>
    <w:p>
      <w:pPr>
        <w:ind w:firstLine="3523" w:firstLineChars="1468"/>
        <w:jc w:val="left"/>
        <w:rPr>
          <w:rFonts w:hint="eastAsia"/>
          <w:sz w:val="24"/>
        </w:rPr>
      </w:pPr>
    </w:p>
    <w:p>
      <w:pPr>
        <w:ind w:firstLine="4483" w:firstLineChars="1868"/>
        <w:jc w:val="left"/>
        <w:rPr>
          <w:rFonts w:hint="default" w:eastAsia="宋体"/>
          <w:sz w:val="24"/>
          <w:lang w:val="en-US" w:eastAsia="zh-CN"/>
        </w:rPr>
      </w:pPr>
      <w:r>
        <w:rPr>
          <w:rFonts w:hint="eastAsia"/>
          <w:sz w:val="24"/>
          <w:lang w:val="en-US" w:eastAsia="zh-CN"/>
        </w:rPr>
        <w:t>____年____月____日</w:t>
      </w:r>
    </w:p>
    <w:p>
      <w:pPr>
        <w:pStyle w:val="4"/>
        <w:spacing w:before="0" w:after="0" w:line="500" w:lineRule="exact"/>
        <w:ind w:firstLine="2796" w:firstLineChars="1165"/>
        <w:jc w:val="both"/>
        <w:rPr>
          <w:rFonts w:ascii="宋体" w:hAnsi="宋体"/>
        </w:rPr>
      </w:pPr>
      <w:r>
        <w:rPr>
          <w:b w:val="0"/>
          <w:bCs w:val="0"/>
          <w:sz w:val="24"/>
          <w:szCs w:val="24"/>
        </w:rPr>
        <w:br w:type="page"/>
      </w:r>
      <w:r>
        <w:rPr>
          <w:rFonts w:hint="eastAsia" w:ascii="宋体" w:hAnsi="宋体"/>
          <w:szCs w:val="21"/>
          <w:lang w:val="en-US" w:eastAsia="zh-CN"/>
        </w:rPr>
        <w:t>三</w:t>
      </w:r>
      <w:r>
        <w:rPr>
          <w:rFonts w:hint="eastAsia" w:ascii="宋体" w:hAnsi="宋体"/>
        </w:rPr>
        <w:t>、</w:t>
      </w:r>
      <w:r>
        <w:rPr>
          <w:rStyle w:val="84"/>
          <w:rFonts w:hint="eastAsia"/>
          <w:b/>
          <w:bCs/>
          <w:lang w:val="en-US" w:eastAsia="zh-CN"/>
        </w:rPr>
        <w:t>法定代表人身份证明</w:t>
      </w:r>
    </w:p>
    <w:p>
      <w:pPr>
        <w:spacing w:line="200" w:lineRule="exact"/>
        <w:jc w:val="left"/>
        <w:rPr>
          <w:sz w:val="24"/>
        </w:rPr>
      </w:pPr>
    </w:p>
    <w:p>
      <w:pPr>
        <w:spacing w:line="200" w:lineRule="exact"/>
        <w:jc w:val="left"/>
        <w:rPr>
          <w:sz w:val="24"/>
          <w:szCs w:val="24"/>
        </w:rPr>
      </w:pPr>
    </w:p>
    <w:p>
      <w:pPr>
        <w:spacing w:line="360" w:lineRule="auto"/>
        <w:jc w:val="left"/>
        <w:rPr>
          <w:rFonts w:ascii="宋体" w:hAnsi="宋体"/>
          <w:szCs w:val="21"/>
          <w:u w:val="single"/>
        </w:rPr>
      </w:pPr>
      <w:r>
        <w:rPr>
          <w:rFonts w:hint="eastAsia" w:ascii="宋体" w:hAnsi="宋体"/>
          <w:szCs w:val="21"/>
        </w:rPr>
        <w:t>投标人名称：</w:t>
      </w:r>
    </w:p>
    <w:p>
      <w:pPr>
        <w:spacing w:line="360" w:lineRule="auto"/>
        <w:jc w:val="left"/>
        <w:rPr>
          <w:rFonts w:ascii="宋体" w:hAnsi="宋体"/>
          <w:szCs w:val="21"/>
          <w:u w:val="single"/>
        </w:rPr>
      </w:pPr>
      <w:r>
        <w:rPr>
          <w:rFonts w:hint="eastAsia" w:ascii="宋体" w:hAnsi="宋体"/>
          <w:szCs w:val="21"/>
        </w:rPr>
        <w:t>姓名： 性别：年龄：职务：</w:t>
      </w:r>
    </w:p>
    <w:p>
      <w:pPr>
        <w:spacing w:line="360" w:lineRule="auto"/>
        <w:jc w:val="left"/>
        <w:rPr>
          <w:rFonts w:ascii="宋体" w:hAnsi="宋体"/>
          <w:szCs w:val="21"/>
        </w:rPr>
      </w:pPr>
      <w:r>
        <w:rPr>
          <w:rFonts w:hint="eastAsia" w:ascii="宋体" w:hAnsi="宋体"/>
          <w:szCs w:val="21"/>
        </w:rPr>
        <w:t>系（投标人名称）的法定代表人。</w:t>
      </w:r>
    </w:p>
    <w:p>
      <w:pPr>
        <w:spacing w:line="360" w:lineRule="auto"/>
        <w:jc w:val="left"/>
        <w:rPr>
          <w:szCs w:val="21"/>
        </w:rPr>
      </w:pPr>
    </w:p>
    <w:p>
      <w:pPr>
        <w:spacing w:line="360" w:lineRule="auto"/>
        <w:jc w:val="left"/>
        <w:rPr>
          <w:szCs w:val="21"/>
        </w:rPr>
      </w:pPr>
    </w:p>
    <w:p>
      <w:pPr>
        <w:spacing w:line="360" w:lineRule="auto"/>
        <w:jc w:val="left"/>
        <w:rPr>
          <w:szCs w:val="21"/>
        </w:rPr>
      </w:pPr>
    </w:p>
    <w:p>
      <w:pPr>
        <w:spacing w:line="360" w:lineRule="auto"/>
        <w:jc w:val="left"/>
        <w:rPr>
          <w:szCs w:val="21"/>
        </w:rPr>
      </w:pPr>
    </w:p>
    <w:p>
      <w:pPr>
        <w:spacing w:line="360" w:lineRule="auto"/>
        <w:jc w:val="left"/>
        <w:rPr>
          <w:szCs w:val="21"/>
        </w:rPr>
      </w:pPr>
    </w:p>
    <w:p>
      <w:pPr>
        <w:spacing w:line="360" w:lineRule="auto"/>
        <w:jc w:val="left"/>
        <w:rPr>
          <w:szCs w:val="21"/>
        </w:rPr>
      </w:pPr>
      <w:r>
        <w:rPr>
          <w:rFonts w:hint="eastAsia" w:ascii="宋体" w:hAnsi="宋体"/>
          <w:szCs w:val="21"/>
        </w:rPr>
        <w:t>附：法定代表人身份证复印件。</w:t>
      </w:r>
    </w:p>
    <w:p>
      <w:pPr>
        <w:spacing w:line="360" w:lineRule="auto"/>
        <w:jc w:val="left"/>
        <w:rPr>
          <w:szCs w:val="21"/>
        </w:rPr>
      </w:pPr>
    </w:p>
    <w:p>
      <w:pPr>
        <w:spacing w:line="360" w:lineRule="auto"/>
        <w:jc w:val="left"/>
        <w:rPr>
          <w:szCs w:val="21"/>
        </w:rPr>
      </w:pPr>
    </w:p>
    <w:p>
      <w:pPr>
        <w:spacing w:line="360" w:lineRule="auto"/>
        <w:jc w:val="left"/>
        <w:rPr>
          <w:szCs w:val="21"/>
        </w:rPr>
      </w:pPr>
    </w:p>
    <w:p>
      <w:pPr>
        <w:spacing w:line="360" w:lineRule="auto"/>
        <w:jc w:val="left"/>
        <w:rPr>
          <w:szCs w:val="21"/>
        </w:rPr>
      </w:pPr>
      <w:r>
        <w:rPr>
          <w:rFonts w:hint="eastAsia" w:ascii="宋体" w:hAnsi="宋体"/>
          <w:szCs w:val="21"/>
        </w:rPr>
        <w:t>注：本身份证明需由投标人加盖单位公章。</w:t>
      </w:r>
    </w:p>
    <w:p>
      <w:pPr>
        <w:spacing w:line="360" w:lineRule="auto"/>
        <w:jc w:val="left"/>
        <w:rPr>
          <w:szCs w:val="21"/>
        </w:rPr>
      </w:pPr>
    </w:p>
    <w:p>
      <w:pPr>
        <w:spacing w:line="360" w:lineRule="auto"/>
        <w:jc w:val="left"/>
        <w:rPr>
          <w:szCs w:val="21"/>
        </w:rPr>
      </w:pPr>
    </w:p>
    <w:p>
      <w:pPr>
        <w:spacing w:line="360" w:lineRule="auto"/>
        <w:jc w:val="left"/>
        <w:rPr>
          <w:szCs w:val="21"/>
        </w:rPr>
      </w:pPr>
    </w:p>
    <w:p>
      <w:pPr>
        <w:spacing w:line="360" w:lineRule="auto"/>
        <w:jc w:val="left"/>
        <w:rPr>
          <w:szCs w:val="21"/>
        </w:rPr>
      </w:pPr>
    </w:p>
    <w:p>
      <w:pPr>
        <w:spacing w:line="360" w:lineRule="auto"/>
        <w:jc w:val="left"/>
        <w:rPr>
          <w:szCs w:val="21"/>
        </w:rPr>
      </w:pPr>
    </w:p>
    <w:p>
      <w:pPr>
        <w:tabs>
          <w:tab w:val="left" w:pos="6400"/>
        </w:tabs>
        <w:overflowPunct w:val="0"/>
        <w:spacing w:line="360" w:lineRule="auto"/>
        <w:ind w:left="4120"/>
        <w:jc w:val="left"/>
        <w:rPr>
          <w:szCs w:val="21"/>
        </w:rPr>
      </w:pPr>
      <w:r>
        <w:rPr>
          <w:rFonts w:hint="eastAsia" w:ascii="宋体" w:hAnsi="宋体"/>
          <w:szCs w:val="21"/>
        </w:rPr>
        <w:t>投标人：</w:t>
      </w:r>
      <w:r>
        <w:rPr>
          <w:szCs w:val="21"/>
          <w:u w:val="single"/>
        </w:rPr>
        <w:tab/>
      </w:r>
      <w:r>
        <w:rPr>
          <w:rFonts w:hint="eastAsia" w:ascii="宋体" w:hAnsi="宋体"/>
          <w:szCs w:val="21"/>
        </w:rPr>
        <w:t>（盖单位章）</w:t>
      </w:r>
    </w:p>
    <w:p>
      <w:pPr>
        <w:spacing w:line="360" w:lineRule="auto"/>
        <w:jc w:val="left"/>
        <w:rPr>
          <w:sz w:val="24"/>
          <w:szCs w:val="24"/>
        </w:rPr>
      </w:pPr>
    </w:p>
    <w:p>
      <w:pPr>
        <w:spacing w:line="360" w:lineRule="auto"/>
        <w:jc w:val="left"/>
        <w:rPr>
          <w:sz w:val="24"/>
          <w:szCs w:val="24"/>
        </w:rPr>
      </w:pPr>
    </w:p>
    <w:p>
      <w:pPr>
        <w:spacing w:line="360" w:lineRule="auto"/>
        <w:jc w:val="left"/>
        <w:rPr>
          <w:sz w:val="24"/>
          <w:szCs w:val="24"/>
        </w:rPr>
      </w:pPr>
    </w:p>
    <w:p>
      <w:pPr>
        <w:tabs>
          <w:tab w:val="left" w:pos="6080"/>
          <w:tab w:val="left" w:pos="6920"/>
        </w:tabs>
        <w:spacing w:line="360" w:lineRule="auto"/>
        <w:ind w:left="5260"/>
        <w:jc w:val="left"/>
        <w:rPr>
          <w:sz w:val="24"/>
          <w:szCs w:val="24"/>
        </w:rPr>
      </w:pPr>
      <w:r>
        <w:rPr>
          <w:rFonts w:hint="eastAsia" w:ascii="宋体" w:hAnsi="宋体"/>
          <w:sz w:val="24"/>
          <w:szCs w:val="24"/>
        </w:rPr>
        <w:t>年</w:t>
      </w:r>
      <w:r>
        <w:rPr>
          <w:sz w:val="24"/>
          <w:szCs w:val="24"/>
        </w:rPr>
        <w:tab/>
      </w:r>
      <w:r>
        <w:rPr>
          <w:rFonts w:hint="eastAsia" w:ascii="宋体" w:hAnsi="宋体"/>
          <w:sz w:val="24"/>
          <w:szCs w:val="24"/>
        </w:rPr>
        <w:t>月</w:t>
      </w:r>
      <w:r>
        <w:rPr>
          <w:sz w:val="24"/>
          <w:szCs w:val="24"/>
        </w:rPr>
        <w:tab/>
      </w:r>
      <w:r>
        <w:rPr>
          <w:rFonts w:hint="eastAsia" w:ascii="宋体" w:hAnsi="宋体"/>
          <w:sz w:val="24"/>
          <w:szCs w:val="24"/>
        </w:rPr>
        <w:t>日</w:t>
      </w: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pStyle w:val="4"/>
        <w:spacing w:before="0" w:after="0" w:line="415" w:lineRule="auto"/>
        <w:jc w:val="center"/>
        <w:rPr>
          <w:rFonts w:ascii="宋体" w:hAnsi="宋体"/>
        </w:rPr>
      </w:pPr>
      <w:r>
        <w:rPr>
          <w:rFonts w:hint="eastAsia" w:ascii="宋体" w:hAnsi="宋体"/>
          <w:b w:val="0"/>
        </w:rPr>
        <w:br w:type="page"/>
      </w:r>
      <w:bookmarkStart w:id="217" w:name="_Toc31791946"/>
      <w:r>
        <w:rPr>
          <w:rFonts w:hint="eastAsia" w:ascii="宋体" w:hAnsi="宋体"/>
          <w:b/>
          <w:bCs w:val="0"/>
          <w:lang w:val="en-US" w:eastAsia="zh-CN"/>
        </w:rPr>
        <w:t>四</w:t>
      </w:r>
      <w:r>
        <w:rPr>
          <w:rFonts w:hint="eastAsia" w:ascii="宋体" w:hAnsi="宋体"/>
        </w:rPr>
        <w:t>、授权委托书</w:t>
      </w:r>
      <w:bookmarkEnd w:id="217"/>
    </w:p>
    <w:p>
      <w:pPr>
        <w:spacing w:line="200" w:lineRule="exact"/>
        <w:jc w:val="left"/>
        <w:rPr>
          <w:sz w:val="24"/>
        </w:rPr>
      </w:pPr>
    </w:p>
    <w:p>
      <w:pPr>
        <w:adjustRightInd w:val="0"/>
        <w:snapToGrid w:val="0"/>
        <w:spacing w:line="360" w:lineRule="auto"/>
        <w:ind w:firstLine="420" w:firstLineChars="200"/>
        <w:jc w:val="left"/>
        <w:rPr>
          <w:sz w:val="24"/>
        </w:rPr>
      </w:pPr>
      <w:r>
        <w:rPr>
          <w:rFonts w:hint="eastAsia" w:ascii="宋体" w:hAnsi="宋体"/>
        </w:rPr>
        <w:t>本人（姓名）系（投标人名称）的法定代表人，现委托（姓名）为我方代理人。代理人根据授权，以我方名义签署、澄清确认、递交、撤回、修改设备采购招标项目投标文件、签订合同和处理有关事宜，其法律后果由我方承担。</w:t>
      </w:r>
    </w:p>
    <w:p>
      <w:pPr>
        <w:spacing w:line="385" w:lineRule="exact"/>
        <w:jc w:val="left"/>
        <w:rPr>
          <w:rFonts w:ascii="宋体" w:hAnsi="宋体"/>
          <w:w w:val="99"/>
          <w:u w:val="single"/>
        </w:rPr>
      </w:pPr>
      <w:r>
        <w:rPr>
          <w:rFonts w:hint="eastAsia" w:ascii="宋体" w:hAnsi="宋体"/>
        </w:rPr>
        <w:t>委托期限：</w:t>
      </w:r>
    </w:p>
    <w:p>
      <w:pPr>
        <w:spacing w:line="385" w:lineRule="exact"/>
        <w:jc w:val="left"/>
        <w:rPr>
          <w:rFonts w:ascii="宋体" w:hAnsi="宋体"/>
          <w:w w:val="99"/>
        </w:rPr>
      </w:pPr>
      <w:r>
        <w:rPr>
          <w:rFonts w:hint="eastAsia" w:ascii="宋体" w:hAnsi="宋体"/>
        </w:rPr>
        <w:t>代理人无转委托权。</w:t>
      </w:r>
    </w:p>
    <w:p>
      <w:pPr>
        <w:spacing w:line="385" w:lineRule="exact"/>
        <w:jc w:val="left"/>
        <w:rPr>
          <w:sz w:val="24"/>
        </w:rPr>
      </w:pPr>
    </w:p>
    <w:p>
      <w:pPr>
        <w:spacing w:line="385" w:lineRule="exact"/>
        <w:jc w:val="left"/>
        <w:rPr>
          <w:sz w:val="24"/>
        </w:rPr>
      </w:pPr>
    </w:p>
    <w:p>
      <w:pPr>
        <w:spacing w:line="200" w:lineRule="exact"/>
        <w:jc w:val="left"/>
        <w:rPr>
          <w:sz w:val="24"/>
        </w:rPr>
      </w:pPr>
    </w:p>
    <w:p>
      <w:pPr>
        <w:spacing w:line="200" w:lineRule="exact"/>
        <w:jc w:val="left"/>
        <w:rPr>
          <w:sz w:val="24"/>
        </w:rPr>
      </w:pPr>
    </w:p>
    <w:p>
      <w:pPr>
        <w:spacing w:line="241" w:lineRule="exact"/>
        <w:jc w:val="left"/>
        <w:rPr>
          <w:sz w:val="24"/>
        </w:rPr>
      </w:pPr>
    </w:p>
    <w:p>
      <w:pPr>
        <w:spacing w:line="239" w:lineRule="auto"/>
        <w:jc w:val="left"/>
        <w:rPr>
          <w:sz w:val="24"/>
        </w:rPr>
      </w:pPr>
      <w:r>
        <w:rPr>
          <w:rFonts w:hint="eastAsia" w:ascii="宋体" w:hAnsi="宋体"/>
        </w:rPr>
        <w:t>附：法定代表人身份证复印件及委托代理人身份证复印件</w:t>
      </w:r>
    </w:p>
    <w:p>
      <w:pPr>
        <w:spacing w:line="200" w:lineRule="exact"/>
        <w:jc w:val="left"/>
        <w:rPr>
          <w:sz w:val="24"/>
        </w:rPr>
      </w:pPr>
    </w:p>
    <w:p>
      <w:pPr>
        <w:spacing w:line="200" w:lineRule="exact"/>
        <w:jc w:val="left"/>
        <w:rPr>
          <w:sz w:val="24"/>
        </w:rPr>
      </w:pPr>
    </w:p>
    <w:p>
      <w:pPr>
        <w:spacing w:line="274" w:lineRule="exact"/>
        <w:jc w:val="left"/>
        <w:rPr>
          <w:sz w:val="24"/>
        </w:rPr>
      </w:pPr>
    </w:p>
    <w:p>
      <w:pPr>
        <w:overflowPunct w:val="0"/>
        <w:spacing w:line="408" w:lineRule="auto"/>
        <w:ind w:right="100"/>
        <w:jc w:val="left"/>
        <w:rPr>
          <w:rFonts w:ascii="宋体" w:hAnsi="宋体"/>
        </w:rPr>
      </w:pPr>
      <w:r>
        <w:rPr>
          <w:rFonts w:hint="eastAsia" w:ascii="宋体" w:hAnsi="宋体"/>
        </w:rPr>
        <w:t>注：本授权委托书需由投标人加盖单位公章并由其法定代表人和委托代理人签字。</w:t>
      </w:r>
    </w:p>
    <w:p>
      <w:pPr>
        <w:overflowPunct w:val="0"/>
        <w:spacing w:line="408" w:lineRule="auto"/>
        <w:ind w:right="100"/>
        <w:jc w:val="left"/>
        <w:rPr>
          <w:rFonts w:ascii="宋体" w:hAnsi="宋体"/>
        </w:rPr>
      </w:pPr>
    </w:p>
    <w:p>
      <w:pPr>
        <w:overflowPunct w:val="0"/>
        <w:adjustRightInd w:val="0"/>
        <w:snapToGrid w:val="0"/>
        <w:spacing w:line="360" w:lineRule="auto"/>
        <w:ind w:left="4418" w:leftChars="2104" w:right="100"/>
        <w:jc w:val="left"/>
        <w:rPr>
          <w:rFonts w:ascii="宋体" w:hAnsi="宋体"/>
        </w:rPr>
      </w:pPr>
      <w:r>
        <w:rPr>
          <w:rFonts w:hint="eastAsia" w:ascii="宋体" w:hAnsi="宋体"/>
        </w:rPr>
        <w:t>投标人：（盖单位章）</w:t>
      </w:r>
    </w:p>
    <w:p>
      <w:pPr>
        <w:overflowPunct w:val="0"/>
        <w:adjustRightInd w:val="0"/>
        <w:snapToGrid w:val="0"/>
        <w:spacing w:line="360" w:lineRule="auto"/>
        <w:ind w:left="4418" w:leftChars="2104" w:right="100"/>
        <w:jc w:val="left"/>
        <w:rPr>
          <w:rFonts w:ascii="宋体" w:hAnsi="宋体"/>
        </w:rPr>
      </w:pPr>
      <w:r>
        <w:rPr>
          <w:rFonts w:hint="eastAsia" w:ascii="宋体" w:hAnsi="宋体"/>
        </w:rPr>
        <w:t>法定代表人：（签字）</w:t>
      </w:r>
    </w:p>
    <w:p>
      <w:pPr>
        <w:overflowPunct w:val="0"/>
        <w:adjustRightInd w:val="0"/>
        <w:snapToGrid w:val="0"/>
        <w:spacing w:line="360" w:lineRule="auto"/>
        <w:ind w:left="4418" w:leftChars="2104" w:right="100"/>
        <w:jc w:val="left"/>
        <w:rPr>
          <w:rFonts w:ascii="宋体" w:hAnsi="宋体"/>
        </w:rPr>
      </w:pPr>
      <w:r>
        <w:rPr>
          <w:rFonts w:hint="eastAsia" w:ascii="宋体" w:hAnsi="宋体"/>
        </w:rPr>
        <w:t>身份证号码：</w:t>
      </w:r>
    </w:p>
    <w:p>
      <w:pPr>
        <w:adjustRightInd w:val="0"/>
        <w:snapToGrid w:val="0"/>
        <w:spacing w:line="360" w:lineRule="auto"/>
        <w:ind w:left="4418" w:leftChars="2104"/>
        <w:jc w:val="left"/>
        <w:rPr>
          <w:rFonts w:ascii="宋体" w:hAnsi="宋体"/>
        </w:rPr>
      </w:pPr>
      <w:r>
        <w:rPr>
          <w:rFonts w:hint="eastAsia" w:ascii="宋体" w:hAnsi="宋体"/>
        </w:rPr>
        <w:t>委托代理人：（签字）</w:t>
      </w:r>
    </w:p>
    <w:p>
      <w:pPr>
        <w:adjustRightInd w:val="0"/>
        <w:snapToGrid w:val="0"/>
        <w:spacing w:line="360" w:lineRule="auto"/>
        <w:ind w:left="4418" w:leftChars="2104"/>
        <w:jc w:val="left"/>
        <w:rPr>
          <w:rFonts w:ascii="宋体" w:hAnsi="宋体"/>
        </w:rPr>
      </w:pPr>
      <w:r>
        <w:rPr>
          <w:rFonts w:hint="eastAsia" w:ascii="宋体" w:hAnsi="宋体"/>
        </w:rPr>
        <w:t>身份证号码：</w:t>
      </w: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75" w:lineRule="exact"/>
        <w:jc w:val="left"/>
        <w:rPr>
          <w:sz w:val="24"/>
        </w:rPr>
      </w:pPr>
    </w:p>
    <w:p>
      <w:pPr>
        <w:tabs>
          <w:tab w:val="left" w:pos="7460"/>
          <w:tab w:val="left" w:pos="8420"/>
        </w:tabs>
        <w:overflowPunct w:val="0"/>
        <w:spacing w:line="239" w:lineRule="auto"/>
        <w:ind w:left="6540" w:right="100"/>
        <w:jc w:val="left"/>
        <w:rPr>
          <w:sz w:val="24"/>
        </w:rPr>
      </w:pPr>
      <w:r>
        <w:rPr>
          <w:rFonts w:hint="eastAsia" w:ascii="宋体" w:hAnsi="宋体"/>
        </w:rPr>
        <w:t>年</w:t>
      </w:r>
      <w:r>
        <w:rPr>
          <w:sz w:val="24"/>
        </w:rPr>
        <w:tab/>
      </w:r>
      <w:r>
        <w:rPr>
          <w:rFonts w:hint="eastAsia" w:ascii="宋体" w:hAnsi="宋体"/>
        </w:rPr>
        <w:t>月</w:t>
      </w:r>
      <w:r>
        <w:rPr>
          <w:sz w:val="24"/>
        </w:rPr>
        <w:tab/>
      </w:r>
      <w:r>
        <w:rPr>
          <w:rFonts w:hint="eastAsia" w:ascii="宋体" w:hAnsi="宋体"/>
          <w:sz w:val="20"/>
        </w:rPr>
        <w:t>日</w:t>
      </w:r>
    </w:p>
    <w:p>
      <w:pPr>
        <w:spacing w:line="200" w:lineRule="exact"/>
        <w:jc w:val="left"/>
        <w:rPr>
          <w:sz w:val="24"/>
        </w:rPr>
      </w:pPr>
      <w:r>
        <w:rPr>
          <w:sz w:val="24"/>
        </w:rPr>
        <mc:AlternateContent>
          <mc:Choice Requires="wps">
            <w:drawing>
              <wp:anchor distT="0" distB="0" distL="114300" distR="114300" simplePos="0" relativeHeight="251661312" behindDoc="1" locked="0" layoutInCell="1" allowOverlap="1">
                <wp:simplePos x="0" y="0"/>
                <wp:positionH relativeFrom="column">
                  <wp:posOffset>3687445</wp:posOffset>
                </wp:positionH>
                <wp:positionV relativeFrom="paragraph">
                  <wp:posOffset>635</wp:posOffset>
                </wp:positionV>
                <wp:extent cx="467360" cy="0"/>
                <wp:effectExtent l="0" t="0" r="0" b="0"/>
                <wp:wrapNone/>
                <wp:docPr id="1040" name="直接连接符 1040"/>
                <wp:cNvGraphicFramePr/>
                <a:graphic xmlns:a="http://schemas.openxmlformats.org/drawingml/2006/main">
                  <a:graphicData uri="http://schemas.microsoft.com/office/word/2010/wordprocessingShape">
                    <wps:wsp>
                      <wps:cNvCnPr/>
                      <wps:spPr>
                        <a:xfrm>
                          <a:off x="0" y="0"/>
                          <a:ext cx="467360" cy="0"/>
                        </a:xfrm>
                        <a:prstGeom prst="line">
                          <a:avLst/>
                        </a:prstGeom>
                        <a:ln w="609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290.35pt;margin-top:0.05pt;height:0pt;width:36.8pt;z-index:-251655168;mso-width-relative:page;mso-height-relative:page;" filled="f" stroked="t" coordsize="21600,21600" o:gfxdata="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ptaVUdEAAAAFAQAADwAAAAAAAAAB&#10;ACAAAAAiAAAAZHJzL2Rvd25yZXYueG1sUEsBAhQAFAAAAAgAh07iQEov46XeAQAApwMAAA4AAAAA&#10;AAAAAQAgAAAAIAEAAGRycy9lMm9Eb2MueG1sUEsFBgAAAAAGAAYAWQEAAHAFAAAAAA==&#10;">
                <v:fill on="f" focussize="0,0"/>
                <v:stroke weight="0.47992125984252pt" color="#000000" joinstyle="round"/>
                <v:imagedata o:title=""/>
                <o:lock v:ext="edit" aspectratio="f"/>
              </v:line>
            </w:pict>
          </mc:Fallback>
        </mc:AlternateContent>
      </w:r>
      <w:r>
        <w:rPr>
          <w:sz w:val="24"/>
        </w:rPr>
        <mc:AlternateContent>
          <mc:Choice Requires="wps">
            <w:drawing>
              <wp:anchor distT="0" distB="0" distL="114300" distR="114300" simplePos="0" relativeHeight="251662336" behindDoc="1" locked="0" layoutInCell="1" allowOverlap="1">
                <wp:simplePos x="0" y="0"/>
                <wp:positionH relativeFrom="column">
                  <wp:posOffset>4289425</wp:posOffset>
                </wp:positionH>
                <wp:positionV relativeFrom="paragraph">
                  <wp:posOffset>635</wp:posOffset>
                </wp:positionV>
                <wp:extent cx="466090" cy="0"/>
                <wp:effectExtent l="0" t="0" r="0" b="0"/>
                <wp:wrapNone/>
                <wp:docPr id="1041" name="直接连接符 1041"/>
                <wp:cNvGraphicFramePr/>
                <a:graphic xmlns:a="http://schemas.openxmlformats.org/drawingml/2006/main">
                  <a:graphicData uri="http://schemas.microsoft.com/office/word/2010/wordprocessingShape">
                    <wps:wsp>
                      <wps:cNvCnPr/>
                      <wps:spPr>
                        <a:xfrm>
                          <a:off x="0" y="0"/>
                          <a:ext cx="466090" cy="0"/>
                        </a:xfrm>
                        <a:prstGeom prst="line">
                          <a:avLst/>
                        </a:prstGeom>
                        <a:ln w="609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337.75pt;margin-top:0.05pt;height:0pt;width:36.7pt;z-index:-251654144;mso-width-relative:page;mso-height-relative:page;" filled="f" stroked="t" coordsize="21600,21600" o:gfxdata="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of86X0QAAAAUBAAAPAAAAAAAAAAEA&#10;IAAAACIAAABkcnMvZG93bnJldi54bWxQSwECFAAUAAAACACHTuJApcBEHt0BAACnAwAADgAAAAAA&#10;AAABACAAAAAgAQAAZHJzL2Uyb0RvYy54bWxQSwUGAAAAAAYABgBZAQAAbwUAAAAA&#10;">
                <v:fill on="f" focussize="0,0"/>
                <v:stroke weight="0.47992125984252pt" color="#000000" joinstyle="round"/>
                <v:imagedata o:title=""/>
                <o:lock v:ext="edit" aspectratio="f"/>
              </v:line>
            </w:pict>
          </mc:Fallback>
        </mc:AlternateContent>
      </w:r>
      <w:r>
        <w:rPr>
          <w:sz w:val="24"/>
        </w:rPr>
        <mc:AlternateContent>
          <mc:Choice Requires="wps">
            <w:drawing>
              <wp:anchor distT="0" distB="0" distL="114300" distR="114300" simplePos="0" relativeHeight="251663360" behindDoc="1" locked="0" layoutInCell="1" allowOverlap="1">
                <wp:simplePos x="0" y="0"/>
                <wp:positionH relativeFrom="column">
                  <wp:posOffset>4888230</wp:posOffset>
                </wp:positionH>
                <wp:positionV relativeFrom="paragraph">
                  <wp:posOffset>635</wp:posOffset>
                </wp:positionV>
                <wp:extent cx="466725" cy="0"/>
                <wp:effectExtent l="0" t="0" r="0" b="0"/>
                <wp:wrapNone/>
                <wp:docPr id="1042" name="直接连接符 1042"/>
                <wp:cNvGraphicFramePr/>
                <a:graphic xmlns:a="http://schemas.openxmlformats.org/drawingml/2006/main">
                  <a:graphicData uri="http://schemas.microsoft.com/office/word/2010/wordprocessingShape">
                    <wps:wsp>
                      <wps:cNvCnPr/>
                      <wps:spPr>
                        <a:xfrm>
                          <a:off x="0" y="0"/>
                          <a:ext cx="466725" cy="0"/>
                        </a:xfrm>
                        <a:prstGeom prst="line">
                          <a:avLst/>
                        </a:prstGeom>
                        <a:ln w="6095" cap="flat" cmpd="sng">
                          <a:solidFill>
                            <a:srgbClr val="000000"/>
                          </a:solidFill>
                          <a:prstDash val="solid"/>
                          <a:round/>
                          <a:headEnd type="none" w="med" len="med"/>
                          <a:tailEnd type="none" w="med" len="med"/>
                        </a:ln>
                        <a:effectLst/>
                      </wps:spPr>
                      <wps:bodyPr/>
                    </wps:wsp>
                  </a:graphicData>
                </a:graphic>
              </wp:anchor>
            </w:drawing>
          </mc:Choice>
          <mc:Fallback>
            <w:pict>
              <v:line id="_x0000_s1026" o:spid="_x0000_s1026" o:spt="20" style="position:absolute;left:0pt;margin-left:384.9pt;margin-top:0.05pt;height:0pt;width:36.75pt;z-index:-251653120;mso-width-relative:page;mso-height-relative:page;" filled="f" stroked="t" coordsize="21600,21600" o:gfxdata="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xeEjXdEAAAAFAQAADwAAAAAAAAAB&#10;ACAAAAAiAAAAZHJzL2Rvd25yZXYueG1sUEsBAhQAFAAAAAgAh07iQPZvJNTeAQAApwMAAA4AAAAA&#10;AAAAAQAgAAAAIAEAAGRycy9lMm9Eb2MueG1sUEsFBgAAAAAGAAYAWQEAAHAFAAAAAA==&#10;">
                <v:fill on="f" focussize="0,0"/>
                <v:stroke weight="0.47992125984252pt" color="#000000" joinstyle="round"/>
                <v:imagedata o:title=""/>
                <o:lock v:ext="edit" aspectratio="f"/>
              </v:line>
            </w:pict>
          </mc:Fallback>
        </mc:AlternateContent>
      </w: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jc w:val="left"/>
        <w:rPr>
          <w:sz w:val="24"/>
        </w:rPr>
        <w:sectPr>
          <w:pgSz w:w="12240" w:h="15840"/>
          <w:pgMar w:top="1440" w:right="1200" w:bottom="667" w:left="1800" w:header="720" w:footer="720" w:gutter="0"/>
          <w:cols w:space="720" w:num="1"/>
        </w:sectPr>
      </w:pPr>
    </w:p>
    <w:p>
      <w:pPr>
        <w:spacing w:line="1" w:lineRule="exact"/>
        <w:jc w:val="left"/>
        <w:rPr>
          <w:sz w:val="24"/>
        </w:rPr>
      </w:pPr>
      <w:bookmarkStart w:id="218" w:name="page76"/>
      <w:bookmarkEnd w:id="218"/>
    </w:p>
    <w:p>
      <w:pPr>
        <w:pStyle w:val="4"/>
        <w:spacing w:before="0" w:after="0" w:line="415" w:lineRule="auto"/>
        <w:jc w:val="center"/>
        <w:rPr>
          <w:rFonts w:ascii="宋体" w:hAnsi="宋体"/>
        </w:rPr>
      </w:pPr>
      <w:bookmarkStart w:id="219" w:name="_Toc31791947"/>
      <w:r>
        <w:rPr>
          <w:rFonts w:hint="eastAsia" w:ascii="宋体" w:hAnsi="宋体"/>
          <w:lang w:val="en-US" w:eastAsia="zh-CN"/>
        </w:rPr>
        <w:t>五</w:t>
      </w:r>
      <w:r>
        <w:rPr>
          <w:rFonts w:hint="eastAsia" w:ascii="宋体" w:hAnsi="宋体"/>
        </w:rPr>
        <w:t>、投标保证金</w:t>
      </w:r>
      <w:bookmarkEnd w:id="219"/>
    </w:p>
    <w:p>
      <w:pPr>
        <w:spacing w:line="200" w:lineRule="exact"/>
        <w:jc w:val="left"/>
        <w:rPr>
          <w:sz w:val="24"/>
        </w:rPr>
      </w:pPr>
    </w:p>
    <w:p>
      <w:pPr>
        <w:spacing w:line="380" w:lineRule="exact"/>
        <w:jc w:val="left"/>
        <w:rPr>
          <w:sz w:val="24"/>
        </w:rPr>
      </w:pPr>
    </w:p>
    <w:p>
      <w:pPr>
        <w:overflowPunct w:val="0"/>
        <w:spacing w:line="410" w:lineRule="auto"/>
        <w:jc w:val="left"/>
        <w:rPr>
          <w:b/>
          <w:sz w:val="24"/>
        </w:rPr>
      </w:pPr>
      <w:r>
        <w:rPr>
          <w:rFonts w:hint="eastAsia" w:ascii="宋体" w:hAnsi="宋体"/>
          <w:b/>
        </w:rPr>
        <w:t>若采用现金或支票，投标人应在此提供汇款凭证的复印件。如采用银行保函，格式如下。</w:t>
      </w:r>
    </w:p>
    <w:p>
      <w:pPr>
        <w:spacing w:line="308" w:lineRule="exact"/>
        <w:jc w:val="left"/>
        <w:rPr>
          <w:rFonts w:ascii="宋体" w:hAnsi="宋体"/>
        </w:rPr>
      </w:pPr>
      <w:r>
        <w:rPr>
          <w:rFonts w:hint="eastAsia" w:ascii="宋体" w:hAnsi="宋体"/>
        </w:rPr>
        <w:t>（招标人名称）：</w:t>
      </w:r>
    </w:p>
    <w:p>
      <w:pPr>
        <w:spacing w:line="308" w:lineRule="exact"/>
        <w:jc w:val="left"/>
        <w:rPr>
          <w:rFonts w:ascii="宋体" w:hAnsi="宋体"/>
        </w:rPr>
      </w:pPr>
    </w:p>
    <w:p>
      <w:pPr>
        <w:adjustRightInd w:val="0"/>
        <w:snapToGrid w:val="0"/>
        <w:spacing w:line="360" w:lineRule="auto"/>
        <w:ind w:firstLine="420" w:firstLineChars="200"/>
        <w:jc w:val="left"/>
        <w:rPr>
          <w:rFonts w:ascii="宋体" w:hAnsi="宋体"/>
        </w:rPr>
      </w:pPr>
      <w:r>
        <w:rPr>
          <w:rFonts w:hint="eastAsia" w:ascii="宋体" w:hAnsi="宋体"/>
        </w:rPr>
        <w:t>鉴于（投标人名称）（以下称</w:t>
      </w:r>
      <w:r>
        <w:rPr>
          <w:rFonts w:ascii="宋体" w:hAnsi="宋体"/>
        </w:rPr>
        <w:t>“</w:t>
      </w:r>
      <w:r>
        <w:rPr>
          <w:rFonts w:hint="eastAsia" w:ascii="宋体" w:hAnsi="宋体"/>
        </w:rPr>
        <w:t>投标人</w:t>
      </w:r>
      <w:r>
        <w:rPr>
          <w:rFonts w:ascii="宋体" w:hAnsi="宋体"/>
        </w:rPr>
        <w:t>”</w:t>
      </w:r>
      <w:r>
        <w:rPr>
          <w:rFonts w:hint="eastAsia" w:ascii="宋体" w:hAnsi="宋体"/>
        </w:rPr>
        <w:t>）于年 月日参加（项目名称）设备采购招标的投标，（担保人名称，以下简称</w:t>
      </w:r>
      <w:r>
        <w:rPr>
          <w:rFonts w:eastAsia="Times New Roman"/>
        </w:rPr>
        <w:t>“</w:t>
      </w:r>
      <w:r>
        <w:rPr>
          <w:rFonts w:hint="eastAsia" w:ascii="宋体" w:hAnsi="宋体"/>
        </w:rPr>
        <w:t>我方</w:t>
      </w:r>
      <w:r>
        <w:rPr>
          <w:rFonts w:eastAsia="Times New Roman"/>
        </w:rPr>
        <w:t>”</w:t>
      </w:r>
      <w:r>
        <w:rPr>
          <w:rFonts w:hint="eastAsia" w:ascii="宋体" w:hAnsi="宋体"/>
        </w:rPr>
        <w:t xml:space="preserve">）无条件地、不可撤销地保证：若投标人在投标有效期内撤销投标文件，中标后无正当理由不与招标人订立合同，在签订合同时向招标人提出附加条件，不按照招标文件要求提交履约保证金，或者发生招标文件明确规定可以不予退还投标保证金的其他情形，我方承担保证责任。收到你方书面通知后，我方在 </w:t>
      </w:r>
      <w:r>
        <w:rPr>
          <w:rFonts w:eastAsia="Times New Roman"/>
        </w:rPr>
        <w:t>7</w:t>
      </w:r>
      <w:r>
        <w:rPr>
          <w:rFonts w:hint="eastAsia" w:ascii="宋体" w:hAnsi="宋体"/>
        </w:rPr>
        <w:t xml:space="preserve"> 日内向你方无条件支付人民币（大写） 。</w:t>
      </w:r>
    </w:p>
    <w:p>
      <w:pPr>
        <w:adjustRightInd w:val="0"/>
        <w:snapToGrid w:val="0"/>
        <w:spacing w:line="360" w:lineRule="auto"/>
        <w:ind w:firstLine="420" w:firstLineChars="200"/>
        <w:jc w:val="left"/>
        <w:rPr>
          <w:sz w:val="24"/>
        </w:rPr>
      </w:pPr>
      <w:r>
        <w:rPr>
          <w:rFonts w:hint="eastAsia" w:ascii="宋体" w:hAnsi="宋体"/>
        </w:rPr>
        <w:t>本保函在投标有效期内保持有效。要求我方承担保证责任的通知应在投标有效期内送达我方。</w:t>
      </w: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371" w:lineRule="exact"/>
        <w:jc w:val="left"/>
        <w:rPr>
          <w:sz w:val="24"/>
        </w:rPr>
      </w:pPr>
    </w:p>
    <w:p>
      <w:pPr>
        <w:tabs>
          <w:tab w:val="left" w:pos="7360"/>
        </w:tabs>
        <w:adjustRightInd w:val="0"/>
        <w:snapToGrid w:val="0"/>
        <w:spacing w:line="360" w:lineRule="auto"/>
        <w:ind w:left="3578" w:leftChars="1704" w:right="-317" w:rightChars="-151" w:firstLine="420" w:firstLineChars="200"/>
        <w:jc w:val="left"/>
        <w:rPr>
          <w:szCs w:val="21"/>
        </w:rPr>
      </w:pPr>
      <w:r>
        <w:rPr>
          <w:rFonts w:hint="eastAsia" w:ascii="宋体" w:hAnsi="宋体"/>
          <w:szCs w:val="21"/>
        </w:rPr>
        <w:t>担保人名称：</w:t>
      </w:r>
      <w:r>
        <w:rPr>
          <w:szCs w:val="21"/>
          <w:u w:val="single"/>
        </w:rPr>
        <w:tab/>
      </w:r>
      <w:r>
        <w:rPr>
          <w:rFonts w:hint="eastAsia" w:ascii="宋体" w:hAnsi="宋体"/>
          <w:szCs w:val="21"/>
        </w:rPr>
        <w:t>（盖单位章）</w:t>
      </w:r>
    </w:p>
    <w:p>
      <w:pPr>
        <w:tabs>
          <w:tab w:val="left" w:pos="7780"/>
        </w:tabs>
        <w:adjustRightInd w:val="0"/>
        <w:snapToGrid w:val="0"/>
        <w:spacing w:line="360" w:lineRule="auto"/>
        <w:ind w:left="3578" w:leftChars="1704" w:right="-317" w:rightChars="-151" w:firstLine="420" w:firstLineChars="200"/>
        <w:jc w:val="left"/>
        <w:rPr>
          <w:szCs w:val="21"/>
        </w:rPr>
      </w:pPr>
      <w:r>
        <w:rPr>
          <w:rFonts w:hint="eastAsia" w:ascii="宋体" w:hAnsi="宋体"/>
          <w:szCs w:val="21"/>
        </w:rPr>
        <w:t>法定代表人或委托代理人：</w:t>
      </w:r>
      <w:r>
        <w:rPr>
          <w:szCs w:val="21"/>
          <w:u w:val="single"/>
        </w:rPr>
        <w:tab/>
      </w:r>
      <w:r>
        <w:rPr>
          <w:rFonts w:hint="eastAsia" w:ascii="宋体" w:hAnsi="宋体"/>
          <w:szCs w:val="21"/>
        </w:rPr>
        <w:t>（签字）</w:t>
      </w:r>
    </w:p>
    <w:p>
      <w:pPr>
        <w:tabs>
          <w:tab w:val="left" w:pos="7780"/>
        </w:tabs>
        <w:adjustRightInd w:val="0"/>
        <w:snapToGrid w:val="0"/>
        <w:spacing w:line="360" w:lineRule="auto"/>
        <w:ind w:left="3578" w:leftChars="1704" w:right="-317" w:rightChars="-151" w:firstLine="420" w:firstLineChars="200"/>
        <w:jc w:val="left"/>
        <w:rPr>
          <w:rFonts w:ascii="宋体" w:hAnsi="宋体"/>
          <w:szCs w:val="21"/>
        </w:rPr>
      </w:pPr>
      <w:r>
        <w:rPr>
          <w:rFonts w:hint="eastAsia" w:ascii="宋体" w:hAnsi="宋体"/>
          <w:szCs w:val="21"/>
        </w:rPr>
        <w:t>地    址：</w:t>
      </w:r>
      <w:r>
        <w:rPr>
          <w:szCs w:val="21"/>
          <w:u w:val="single"/>
        </w:rPr>
        <w:tab/>
      </w:r>
    </w:p>
    <w:p>
      <w:pPr>
        <w:tabs>
          <w:tab w:val="left" w:pos="7780"/>
        </w:tabs>
        <w:adjustRightInd w:val="0"/>
        <w:snapToGrid w:val="0"/>
        <w:spacing w:line="360" w:lineRule="auto"/>
        <w:ind w:left="3578" w:leftChars="1704" w:right="-317" w:rightChars="-151" w:firstLine="420" w:firstLineChars="200"/>
        <w:jc w:val="left"/>
        <w:rPr>
          <w:szCs w:val="21"/>
        </w:rPr>
      </w:pPr>
      <w:r>
        <w:rPr>
          <w:rFonts w:hint="eastAsia" w:ascii="宋体" w:hAnsi="宋体"/>
          <w:szCs w:val="21"/>
        </w:rPr>
        <w:t>邮政编码：</w:t>
      </w:r>
      <w:r>
        <w:rPr>
          <w:szCs w:val="21"/>
          <w:u w:val="single"/>
        </w:rPr>
        <w:tab/>
      </w:r>
    </w:p>
    <w:p>
      <w:pPr>
        <w:tabs>
          <w:tab w:val="left" w:pos="7780"/>
        </w:tabs>
        <w:adjustRightInd w:val="0"/>
        <w:snapToGrid w:val="0"/>
        <w:spacing w:line="360" w:lineRule="auto"/>
        <w:ind w:left="3578" w:leftChars="1704" w:right="-317" w:rightChars="-151" w:firstLine="420" w:firstLineChars="200"/>
        <w:jc w:val="left"/>
        <w:rPr>
          <w:rFonts w:ascii="宋体" w:hAnsi="宋体"/>
          <w:szCs w:val="21"/>
        </w:rPr>
      </w:pPr>
      <w:r>
        <w:rPr>
          <w:rFonts w:hint="eastAsia" w:ascii="宋体" w:hAnsi="宋体"/>
          <w:szCs w:val="21"/>
        </w:rPr>
        <w:t>电    话：</w:t>
      </w:r>
      <w:r>
        <w:rPr>
          <w:szCs w:val="21"/>
          <w:u w:val="single"/>
        </w:rPr>
        <w:tab/>
      </w:r>
    </w:p>
    <w:p>
      <w:pPr>
        <w:spacing w:line="200" w:lineRule="exact"/>
        <w:jc w:val="left"/>
        <w:rPr>
          <w:szCs w:val="21"/>
        </w:rPr>
      </w:pPr>
    </w:p>
    <w:p>
      <w:pPr>
        <w:spacing w:line="200" w:lineRule="exact"/>
        <w:jc w:val="left"/>
        <w:rPr>
          <w:szCs w:val="21"/>
        </w:rPr>
      </w:pPr>
    </w:p>
    <w:p>
      <w:pPr>
        <w:spacing w:line="239" w:lineRule="exact"/>
        <w:jc w:val="left"/>
        <w:rPr>
          <w:szCs w:val="21"/>
        </w:rPr>
      </w:pPr>
    </w:p>
    <w:p>
      <w:pPr>
        <w:tabs>
          <w:tab w:val="left" w:pos="7360"/>
          <w:tab w:val="left" w:pos="8420"/>
        </w:tabs>
        <w:ind w:left="6340" w:firstLine="210" w:firstLineChars="100"/>
        <w:jc w:val="left"/>
        <w:rPr>
          <w:szCs w:val="21"/>
        </w:rPr>
      </w:pPr>
      <w:r>
        <w:rPr>
          <w:rFonts w:hint="eastAsia" w:ascii="宋体" w:hAnsi="宋体"/>
          <w:szCs w:val="21"/>
        </w:rPr>
        <w:t>年</w:t>
      </w:r>
      <w:r>
        <w:rPr>
          <w:szCs w:val="21"/>
        </w:rPr>
        <w:tab/>
      </w:r>
      <w:r>
        <w:rPr>
          <w:rFonts w:hint="eastAsia" w:ascii="宋体" w:hAnsi="宋体"/>
          <w:szCs w:val="21"/>
        </w:rPr>
        <w:t xml:space="preserve">月     </w:t>
      </w:r>
      <w:r>
        <w:rPr>
          <w:rFonts w:hint="eastAsia"/>
          <w:szCs w:val="21"/>
        </w:rPr>
        <w:t>日</w:t>
      </w:r>
    </w:p>
    <w:p>
      <w:pPr>
        <w:tabs>
          <w:tab w:val="left" w:pos="7360"/>
          <w:tab w:val="left" w:pos="8420"/>
        </w:tabs>
        <w:ind w:left="6340" w:firstLine="240" w:firstLineChars="100"/>
        <w:jc w:val="left"/>
        <w:rPr>
          <w:sz w:val="24"/>
        </w:rPr>
      </w:pPr>
    </w:p>
    <w:p>
      <w:pPr>
        <w:tabs>
          <w:tab w:val="left" w:pos="7360"/>
          <w:tab w:val="left" w:pos="8420"/>
        </w:tabs>
        <w:ind w:left="6340" w:firstLine="240" w:firstLineChars="100"/>
        <w:jc w:val="left"/>
        <w:rPr>
          <w:sz w:val="24"/>
        </w:rPr>
      </w:pPr>
    </w:p>
    <w:p>
      <w:pPr>
        <w:spacing w:line="200" w:lineRule="exact"/>
        <w:jc w:val="left"/>
        <w:rPr>
          <w:sz w:val="24"/>
        </w:rPr>
      </w:pPr>
    </w:p>
    <w:p>
      <w:pPr>
        <w:spacing w:line="363" w:lineRule="exact"/>
        <w:jc w:val="left"/>
        <w:rPr>
          <w:sz w:val="24"/>
        </w:rPr>
      </w:pPr>
    </w:p>
    <w:p>
      <w:pPr>
        <w:spacing w:line="1" w:lineRule="exact"/>
        <w:jc w:val="left"/>
        <w:rPr>
          <w:sz w:val="24"/>
        </w:rPr>
      </w:pPr>
      <w:bookmarkStart w:id="220" w:name="page78"/>
      <w:bookmarkEnd w:id="220"/>
    </w:p>
    <w:p>
      <w:pPr>
        <w:pStyle w:val="4"/>
        <w:spacing w:before="0" w:after="0" w:line="415" w:lineRule="auto"/>
        <w:jc w:val="center"/>
        <w:rPr>
          <w:rFonts w:ascii="宋体" w:hAnsi="宋体"/>
          <w:b w:val="0"/>
        </w:rPr>
      </w:pPr>
      <w:r>
        <w:rPr>
          <w:rFonts w:hint="eastAsia" w:ascii="宋体" w:hAnsi="宋体"/>
          <w:b w:val="0"/>
        </w:rPr>
        <w:br w:type="page"/>
      </w:r>
      <w:bookmarkStart w:id="221" w:name="_Toc31791948"/>
      <w:r>
        <w:rPr>
          <w:rFonts w:hint="eastAsia" w:ascii="宋体" w:hAnsi="宋体"/>
          <w:lang w:val="en-US" w:eastAsia="zh-CN"/>
        </w:rPr>
        <w:t>五</w:t>
      </w:r>
      <w:r>
        <w:rPr>
          <w:rFonts w:hint="eastAsia" w:ascii="宋体" w:hAnsi="宋体"/>
        </w:rPr>
        <w:t>、商务和技术偏差表</w:t>
      </w:r>
      <w:bookmarkEnd w:id="221"/>
    </w:p>
    <w:p>
      <w:pPr>
        <w:spacing w:before="5" w:line="200" w:lineRule="exact"/>
        <w:jc w:val="left"/>
        <w:rPr>
          <w:sz w:val="20"/>
        </w:rPr>
      </w:pPr>
    </w:p>
    <w:tbl>
      <w:tblPr>
        <w:tblStyle w:val="68"/>
        <w:tblW w:w="9668" w:type="dxa"/>
        <w:tblInd w:w="-15"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090"/>
        <w:gridCol w:w="3166"/>
        <w:gridCol w:w="3502"/>
        <w:gridCol w:w="1910"/>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4" w:hRule="exact"/>
        </w:trPr>
        <w:tc>
          <w:tcPr>
            <w:tcW w:w="1090" w:type="dxa"/>
          </w:tcPr>
          <w:p>
            <w:pPr>
              <w:spacing w:before="3" w:line="100" w:lineRule="exact"/>
              <w:jc w:val="left"/>
              <w:rPr>
                <w:sz w:val="10"/>
                <w:szCs w:val="10"/>
              </w:rPr>
            </w:pPr>
          </w:p>
          <w:p>
            <w:pPr>
              <w:ind w:left="244" w:right="-20"/>
              <w:jc w:val="left"/>
              <w:rPr>
                <w:rFonts w:ascii="宋体" w:hAnsi="宋体" w:cs="宋体"/>
                <w:szCs w:val="21"/>
              </w:rPr>
            </w:pPr>
            <w:r>
              <w:rPr>
                <w:rFonts w:ascii="宋体" w:hAnsi="宋体" w:cs="宋体"/>
                <w:szCs w:val="21"/>
              </w:rPr>
              <w:t>序号</w:t>
            </w:r>
          </w:p>
        </w:tc>
        <w:tc>
          <w:tcPr>
            <w:tcW w:w="3166" w:type="dxa"/>
          </w:tcPr>
          <w:p>
            <w:pPr>
              <w:spacing w:before="3" w:line="100" w:lineRule="exact"/>
              <w:jc w:val="left"/>
              <w:rPr>
                <w:sz w:val="10"/>
                <w:szCs w:val="10"/>
              </w:rPr>
            </w:pPr>
          </w:p>
          <w:p>
            <w:pPr>
              <w:ind w:left="285" w:right="-20"/>
              <w:jc w:val="left"/>
              <w:rPr>
                <w:rFonts w:ascii="宋体" w:hAnsi="宋体" w:cs="宋体"/>
                <w:szCs w:val="21"/>
              </w:rPr>
            </w:pPr>
            <w:r>
              <w:rPr>
                <w:rFonts w:ascii="宋体" w:hAnsi="宋体" w:cs="宋体"/>
                <w:szCs w:val="21"/>
              </w:rPr>
              <w:t>招标文件章节及条</w:t>
            </w:r>
            <w:r>
              <w:rPr>
                <w:rFonts w:ascii="宋体" w:hAnsi="宋体" w:cs="宋体"/>
                <w:spacing w:val="-2"/>
                <w:szCs w:val="21"/>
              </w:rPr>
              <w:t>款</w:t>
            </w:r>
            <w:r>
              <w:rPr>
                <w:rFonts w:ascii="宋体" w:hAnsi="宋体" w:cs="宋体"/>
                <w:szCs w:val="21"/>
              </w:rPr>
              <w:t>号</w:t>
            </w:r>
          </w:p>
        </w:tc>
        <w:tc>
          <w:tcPr>
            <w:tcW w:w="3502" w:type="dxa"/>
          </w:tcPr>
          <w:p>
            <w:pPr>
              <w:spacing w:before="3" w:line="100" w:lineRule="exact"/>
              <w:jc w:val="left"/>
              <w:rPr>
                <w:sz w:val="10"/>
                <w:szCs w:val="10"/>
              </w:rPr>
            </w:pPr>
          </w:p>
          <w:p>
            <w:pPr>
              <w:ind w:left="429" w:right="-20"/>
              <w:jc w:val="left"/>
              <w:rPr>
                <w:rFonts w:ascii="宋体" w:hAnsi="宋体" w:cs="宋体"/>
                <w:szCs w:val="21"/>
              </w:rPr>
            </w:pPr>
            <w:r>
              <w:rPr>
                <w:rFonts w:ascii="宋体" w:hAnsi="宋体" w:cs="宋体"/>
                <w:szCs w:val="21"/>
              </w:rPr>
              <w:t>投标文件章节及条</w:t>
            </w:r>
            <w:r>
              <w:rPr>
                <w:rFonts w:ascii="宋体" w:hAnsi="宋体" w:cs="宋体"/>
                <w:spacing w:val="-2"/>
                <w:szCs w:val="21"/>
              </w:rPr>
              <w:t>款</w:t>
            </w:r>
            <w:r>
              <w:rPr>
                <w:rFonts w:ascii="宋体" w:hAnsi="宋体" w:cs="宋体"/>
                <w:szCs w:val="21"/>
              </w:rPr>
              <w:t>号</w:t>
            </w:r>
          </w:p>
        </w:tc>
        <w:tc>
          <w:tcPr>
            <w:tcW w:w="1910" w:type="dxa"/>
          </w:tcPr>
          <w:p>
            <w:pPr>
              <w:spacing w:before="3" w:line="100" w:lineRule="exact"/>
              <w:jc w:val="left"/>
              <w:rPr>
                <w:sz w:val="10"/>
                <w:szCs w:val="10"/>
              </w:rPr>
            </w:pPr>
          </w:p>
          <w:p>
            <w:pPr>
              <w:ind w:left="385" w:right="-20"/>
              <w:jc w:val="left"/>
              <w:rPr>
                <w:rFonts w:ascii="宋体" w:hAnsi="宋体" w:cs="宋体"/>
                <w:szCs w:val="21"/>
              </w:rPr>
            </w:pPr>
            <w:r>
              <w:rPr>
                <w:rFonts w:ascii="宋体" w:hAnsi="宋体" w:cs="宋体"/>
                <w:szCs w:val="21"/>
              </w:rPr>
              <w:t>偏差说明</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6" w:hRule="exact"/>
        </w:trPr>
        <w:tc>
          <w:tcPr>
            <w:tcW w:w="1090" w:type="dxa"/>
          </w:tcPr>
          <w:p>
            <w:pPr>
              <w:spacing w:before="7" w:line="190" w:lineRule="exact"/>
              <w:jc w:val="left"/>
              <w:rPr>
                <w:sz w:val="19"/>
                <w:szCs w:val="19"/>
              </w:rPr>
            </w:pPr>
          </w:p>
          <w:p>
            <w:pPr>
              <w:ind w:left="366" w:right="351"/>
              <w:jc w:val="center"/>
              <w:rPr>
                <w:rFonts w:eastAsia="Times New Roman"/>
                <w:szCs w:val="21"/>
              </w:rPr>
            </w:pPr>
            <w:r>
              <w:rPr>
                <w:rFonts w:eastAsia="Times New Roman"/>
                <w:szCs w:val="21"/>
              </w:rPr>
              <w:t>1</w:t>
            </w:r>
          </w:p>
        </w:tc>
        <w:tc>
          <w:tcPr>
            <w:tcW w:w="3166" w:type="dxa"/>
          </w:tcPr>
          <w:p/>
        </w:tc>
        <w:tc>
          <w:tcPr>
            <w:tcW w:w="3502" w:type="dxa"/>
          </w:tcPr>
          <w:p/>
        </w:tc>
        <w:tc>
          <w:tcPr>
            <w:tcW w:w="1910" w:type="dxa"/>
          </w:tc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4" w:hRule="exact"/>
        </w:trPr>
        <w:tc>
          <w:tcPr>
            <w:tcW w:w="1090" w:type="dxa"/>
          </w:tcPr>
          <w:p>
            <w:pPr>
              <w:spacing w:before="4" w:line="190" w:lineRule="exact"/>
              <w:jc w:val="left"/>
              <w:rPr>
                <w:sz w:val="19"/>
                <w:szCs w:val="19"/>
              </w:rPr>
            </w:pPr>
          </w:p>
          <w:p>
            <w:pPr>
              <w:ind w:left="366" w:right="351"/>
              <w:jc w:val="center"/>
              <w:rPr>
                <w:rFonts w:eastAsia="Times New Roman"/>
                <w:szCs w:val="21"/>
              </w:rPr>
            </w:pPr>
            <w:r>
              <w:rPr>
                <w:rFonts w:eastAsia="Times New Roman"/>
                <w:szCs w:val="21"/>
              </w:rPr>
              <w:t>2</w:t>
            </w:r>
          </w:p>
        </w:tc>
        <w:tc>
          <w:tcPr>
            <w:tcW w:w="3166" w:type="dxa"/>
          </w:tcPr>
          <w:p/>
        </w:tc>
        <w:tc>
          <w:tcPr>
            <w:tcW w:w="3502" w:type="dxa"/>
          </w:tcPr>
          <w:p/>
        </w:tc>
        <w:tc>
          <w:tcPr>
            <w:tcW w:w="1910" w:type="dxa"/>
          </w:tc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4" w:hRule="exact"/>
        </w:trPr>
        <w:tc>
          <w:tcPr>
            <w:tcW w:w="1090" w:type="dxa"/>
          </w:tcPr>
          <w:p>
            <w:pPr>
              <w:spacing w:before="4" w:line="190" w:lineRule="exact"/>
              <w:jc w:val="left"/>
              <w:rPr>
                <w:sz w:val="19"/>
                <w:szCs w:val="19"/>
              </w:rPr>
            </w:pPr>
          </w:p>
          <w:p>
            <w:pPr>
              <w:ind w:left="366" w:right="351"/>
              <w:jc w:val="center"/>
              <w:rPr>
                <w:rFonts w:eastAsia="Times New Roman"/>
                <w:szCs w:val="21"/>
              </w:rPr>
            </w:pPr>
            <w:r>
              <w:rPr>
                <w:rFonts w:eastAsia="Times New Roman"/>
                <w:szCs w:val="21"/>
              </w:rPr>
              <w:t>3</w:t>
            </w:r>
          </w:p>
        </w:tc>
        <w:tc>
          <w:tcPr>
            <w:tcW w:w="3166" w:type="dxa"/>
          </w:tcPr>
          <w:p/>
        </w:tc>
        <w:tc>
          <w:tcPr>
            <w:tcW w:w="3502" w:type="dxa"/>
          </w:tcPr>
          <w:p/>
        </w:tc>
        <w:tc>
          <w:tcPr>
            <w:tcW w:w="1910" w:type="dxa"/>
          </w:tc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4" w:hRule="exact"/>
        </w:trPr>
        <w:tc>
          <w:tcPr>
            <w:tcW w:w="1090" w:type="dxa"/>
          </w:tcPr>
          <w:p>
            <w:pPr>
              <w:spacing w:before="5" w:line="190" w:lineRule="exact"/>
              <w:jc w:val="left"/>
              <w:rPr>
                <w:sz w:val="19"/>
                <w:szCs w:val="19"/>
              </w:rPr>
            </w:pPr>
          </w:p>
          <w:p>
            <w:pPr>
              <w:ind w:left="366" w:right="351"/>
              <w:jc w:val="center"/>
              <w:rPr>
                <w:rFonts w:eastAsia="Times New Roman"/>
                <w:szCs w:val="21"/>
              </w:rPr>
            </w:pPr>
            <w:r>
              <w:rPr>
                <w:rFonts w:eastAsia="Times New Roman"/>
                <w:szCs w:val="21"/>
              </w:rPr>
              <w:t>4</w:t>
            </w:r>
          </w:p>
        </w:tc>
        <w:tc>
          <w:tcPr>
            <w:tcW w:w="3166" w:type="dxa"/>
          </w:tcPr>
          <w:p/>
        </w:tc>
        <w:tc>
          <w:tcPr>
            <w:tcW w:w="3502" w:type="dxa"/>
          </w:tcPr>
          <w:p/>
        </w:tc>
        <w:tc>
          <w:tcPr>
            <w:tcW w:w="1910" w:type="dxa"/>
          </w:tc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4" w:hRule="exact"/>
        </w:trPr>
        <w:tc>
          <w:tcPr>
            <w:tcW w:w="1090" w:type="dxa"/>
          </w:tcPr>
          <w:p>
            <w:pPr>
              <w:spacing w:before="7" w:line="190" w:lineRule="exact"/>
              <w:jc w:val="left"/>
              <w:rPr>
                <w:sz w:val="19"/>
                <w:szCs w:val="19"/>
              </w:rPr>
            </w:pPr>
          </w:p>
          <w:p>
            <w:pPr>
              <w:ind w:left="366" w:right="351"/>
              <w:jc w:val="center"/>
              <w:rPr>
                <w:rFonts w:eastAsia="Times New Roman"/>
                <w:szCs w:val="21"/>
              </w:rPr>
            </w:pPr>
            <w:r>
              <w:rPr>
                <w:rFonts w:eastAsia="Times New Roman"/>
                <w:szCs w:val="21"/>
              </w:rPr>
              <w:t>5</w:t>
            </w:r>
          </w:p>
        </w:tc>
        <w:tc>
          <w:tcPr>
            <w:tcW w:w="3166" w:type="dxa"/>
          </w:tcPr>
          <w:p/>
        </w:tc>
        <w:tc>
          <w:tcPr>
            <w:tcW w:w="3502" w:type="dxa"/>
          </w:tcPr>
          <w:p/>
        </w:tc>
        <w:tc>
          <w:tcPr>
            <w:tcW w:w="1910" w:type="dxa"/>
          </w:tc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6" w:hRule="exact"/>
        </w:trPr>
        <w:tc>
          <w:tcPr>
            <w:tcW w:w="1090" w:type="dxa"/>
          </w:tcPr>
          <w:p>
            <w:pPr>
              <w:spacing w:before="7" w:line="600" w:lineRule="exact"/>
              <w:jc w:val="left"/>
              <w:rPr>
                <w:sz w:val="19"/>
                <w:szCs w:val="19"/>
              </w:rPr>
            </w:pPr>
          </w:p>
          <w:p>
            <w:pPr>
              <w:spacing w:line="600" w:lineRule="exact"/>
              <w:ind w:left="246" w:right="-20"/>
              <w:jc w:val="left"/>
              <w:rPr>
                <w:rFonts w:eastAsia="Times New Roman"/>
                <w:szCs w:val="21"/>
              </w:rPr>
            </w:pPr>
            <w:r>
              <w:rPr>
                <w:rFonts w:eastAsia="Times New Roman"/>
                <w:szCs w:val="21"/>
              </w:rPr>
              <w:t>……</w:t>
            </w:r>
          </w:p>
        </w:tc>
        <w:tc>
          <w:tcPr>
            <w:tcW w:w="3166" w:type="dxa"/>
          </w:tcPr>
          <w:p>
            <w:pPr>
              <w:spacing w:line="600" w:lineRule="exact"/>
            </w:pPr>
          </w:p>
        </w:tc>
        <w:tc>
          <w:tcPr>
            <w:tcW w:w="3502" w:type="dxa"/>
          </w:tcPr>
          <w:p>
            <w:pPr>
              <w:spacing w:line="600" w:lineRule="exact"/>
            </w:pPr>
          </w:p>
        </w:tc>
        <w:tc>
          <w:tcPr>
            <w:tcW w:w="1910" w:type="dxa"/>
          </w:tcPr>
          <w:p>
            <w:pPr>
              <w:spacing w:line="600" w:lineRule="exact"/>
            </w:pPr>
          </w:p>
        </w:tc>
      </w:tr>
    </w:tbl>
    <w:p>
      <w:pPr>
        <w:spacing w:line="600" w:lineRule="exact"/>
        <w:jc w:val="left"/>
        <w:rPr>
          <w:sz w:val="11"/>
          <w:szCs w:val="11"/>
        </w:rPr>
      </w:pPr>
    </w:p>
    <w:p>
      <w:pPr>
        <w:spacing w:line="600" w:lineRule="exact"/>
        <w:jc w:val="left"/>
        <w:rPr>
          <w:sz w:val="24"/>
        </w:rPr>
      </w:pPr>
      <w:r>
        <w:rPr>
          <w:rFonts w:ascii="宋体" w:hAnsi="宋体" w:cs="宋体"/>
          <w:position w:val="-2"/>
          <w:szCs w:val="21"/>
        </w:rPr>
        <w:t>投标</w:t>
      </w:r>
      <w:r>
        <w:rPr>
          <w:rFonts w:ascii="宋体" w:hAnsi="宋体" w:cs="宋体"/>
          <w:spacing w:val="-2"/>
          <w:position w:val="-2"/>
          <w:szCs w:val="21"/>
        </w:rPr>
        <w:t>人</w:t>
      </w:r>
      <w:r>
        <w:rPr>
          <w:rFonts w:ascii="宋体" w:hAnsi="宋体" w:cs="宋体"/>
          <w:position w:val="-2"/>
          <w:szCs w:val="21"/>
        </w:rPr>
        <w:t>保</w:t>
      </w:r>
      <w:r>
        <w:rPr>
          <w:rFonts w:ascii="宋体" w:hAnsi="宋体" w:cs="宋体"/>
          <w:spacing w:val="-2"/>
          <w:position w:val="-2"/>
          <w:szCs w:val="21"/>
        </w:rPr>
        <w:t>证</w:t>
      </w:r>
      <w:r>
        <w:rPr>
          <w:rFonts w:ascii="宋体" w:hAnsi="宋体" w:cs="宋体"/>
          <w:position w:val="-2"/>
          <w:szCs w:val="21"/>
        </w:rPr>
        <w:t>：</w:t>
      </w:r>
      <w:r>
        <w:rPr>
          <w:rFonts w:ascii="宋体" w:hAnsi="宋体" w:cs="宋体"/>
          <w:spacing w:val="-2"/>
          <w:position w:val="-2"/>
          <w:szCs w:val="21"/>
        </w:rPr>
        <w:t>除</w:t>
      </w:r>
      <w:r>
        <w:rPr>
          <w:rFonts w:ascii="宋体" w:hAnsi="宋体" w:cs="宋体"/>
          <w:position w:val="-2"/>
          <w:szCs w:val="21"/>
        </w:rPr>
        <w:t>商</w:t>
      </w:r>
      <w:r>
        <w:rPr>
          <w:rFonts w:ascii="宋体" w:hAnsi="宋体" w:cs="宋体"/>
          <w:spacing w:val="-2"/>
          <w:position w:val="-2"/>
          <w:szCs w:val="21"/>
        </w:rPr>
        <w:t>务</w:t>
      </w:r>
      <w:r>
        <w:rPr>
          <w:rFonts w:ascii="宋体" w:hAnsi="宋体" w:cs="宋体"/>
          <w:position w:val="-2"/>
          <w:szCs w:val="21"/>
        </w:rPr>
        <w:t>和</w:t>
      </w:r>
      <w:r>
        <w:rPr>
          <w:rFonts w:ascii="宋体" w:hAnsi="宋体" w:cs="宋体"/>
          <w:spacing w:val="-2"/>
          <w:position w:val="-2"/>
          <w:szCs w:val="21"/>
        </w:rPr>
        <w:t>技</w:t>
      </w:r>
      <w:r>
        <w:rPr>
          <w:rFonts w:ascii="宋体" w:hAnsi="宋体" w:cs="宋体"/>
          <w:position w:val="-2"/>
          <w:szCs w:val="21"/>
        </w:rPr>
        <w:t>术偏</w:t>
      </w:r>
      <w:r>
        <w:rPr>
          <w:rFonts w:ascii="宋体" w:hAnsi="宋体" w:cs="宋体"/>
          <w:spacing w:val="-2"/>
          <w:position w:val="-2"/>
          <w:szCs w:val="21"/>
        </w:rPr>
        <w:t>差</w:t>
      </w:r>
      <w:r>
        <w:rPr>
          <w:rFonts w:ascii="宋体" w:hAnsi="宋体" w:cs="宋体"/>
          <w:position w:val="-2"/>
          <w:szCs w:val="21"/>
        </w:rPr>
        <w:t>表</w:t>
      </w:r>
      <w:r>
        <w:rPr>
          <w:rFonts w:ascii="宋体" w:hAnsi="宋体" w:cs="宋体"/>
          <w:spacing w:val="-2"/>
          <w:position w:val="-2"/>
          <w:szCs w:val="21"/>
        </w:rPr>
        <w:t>列</w:t>
      </w:r>
      <w:r>
        <w:rPr>
          <w:rFonts w:ascii="宋体" w:hAnsi="宋体" w:cs="宋体"/>
          <w:position w:val="-2"/>
          <w:szCs w:val="21"/>
        </w:rPr>
        <w:t>出</w:t>
      </w:r>
      <w:r>
        <w:rPr>
          <w:rFonts w:ascii="宋体" w:hAnsi="宋体" w:cs="宋体"/>
          <w:spacing w:val="-2"/>
          <w:position w:val="-2"/>
          <w:szCs w:val="21"/>
        </w:rPr>
        <w:t>的</w:t>
      </w:r>
      <w:r>
        <w:rPr>
          <w:rFonts w:ascii="宋体" w:hAnsi="宋体" w:cs="宋体"/>
          <w:position w:val="-2"/>
          <w:szCs w:val="21"/>
        </w:rPr>
        <w:t>偏</w:t>
      </w:r>
      <w:r>
        <w:rPr>
          <w:rFonts w:ascii="宋体" w:hAnsi="宋体" w:cs="宋体"/>
          <w:spacing w:val="-2"/>
          <w:position w:val="-2"/>
          <w:szCs w:val="21"/>
        </w:rPr>
        <w:t>差</w:t>
      </w:r>
      <w:r>
        <w:rPr>
          <w:rFonts w:ascii="宋体" w:hAnsi="宋体" w:cs="宋体"/>
          <w:position w:val="-2"/>
          <w:szCs w:val="21"/>
        </w:rPr>
        <w:t>外</w:t>
      </w:r>
      <w:r>
        <w:rPr>
          <w:rFonts w:ascii="宋体" w:hAnsi="宋体" w:cs="宋体"/>
          <w:spacing w:val="-2"/>
          <w:position w:val="-2"/>
          <w:szCs w:val="21"/>
        </w:rPr>
        <w:t>，</w:t>
      </w:r>
      <w:r>
        <w:rPr>
          <w:rFonts w:ascii="宋体" w:hAnsi="宋体" w:cs="宋体"/>
          <w:position w:val="-2"/>
          <w:szCs w:val="21"/>
        </w:rPr>
        <w:t>投标</w:t>
      </w:r>
      <w:r>
        <w:rPr>
          <w:rFonts w:ascii="宋体" w:hAnsi="宋体" w:cs="宋体"/>
          <w:spacing w:val="-2"/>
          <w:position w:val="-2"/>
          <w:szCs w:val="21"/>
        </w:rPr>
        <w:t>人</w:t>
      </w:r>
      <w:r>
        <w:rPr>
          <w:rFonts w:ascii="宋体" w:hAnsi="宋体" w:cs="宋体"/>
          <w:position w:val="-2"/>
          <w:szCs w:val="21"/>
        </w:rPr>
        <w:t>响</w:t>
      </w:r>
      <w:r>
        <w:rPr>
          <w:rFonts w:ascii="宋体" w:hAnsi="宋体" w:cs="宋体"/>
          <w:spacing w:val="-2"/>
          <w:position w:val="-2"/>
          <w:szCs w:val="21"/>
        </w:rPr>
        <w:t>应</w:t>
      </w:r>
      <w:r>
        <w:rPr>
          <w:rFonts w:ascii="宋体" w:hAnsi="宋体" w:cs="宋体"/>
          <w:position w:val="-2"/>
          <w:szCs w:val="21"/>
        </w:rPr>
        <w:t>招</w:t>
      </w:r>
      <w:r>
        <w:rPr>
          <w:rFonts w:ascii="宋体" w:hAnsi="宋体" w:cs="宋体"/>
          <w:spacing w:val="-2"/>
          <w:position w:val="-2"/>
          <w:szCs w:val="21"/>
        </w:rPr>
        <w:t>标</w:t>
      </w:r>
      <w:r>
        <w:rPr>
          <w:rFonts w:ascii="宋体" w:hAnsi="宋体" w:cs="宋体"/>
          <w:position w:val="-2"/>
          <w:szCs w:val="21"/>
        </w:rPr>
        <w:t>文</w:t>
      </w:r>
      <w:r>
        <w:rPr>
          <w:rFonts w:ascii="宋体" w:hAnsi="宋体" w:cs="宋体"/>
          <w:spacing w:val="-2"/>
          <w:position w:val="-2"/>
          <w:szCs w:val="21"/>
        </w:rPr>
        <w:t>件</w:t>
      </w:r>
      <w:r>
        <w:rPr>
          <w:rFonts w:ascii="宋体" w:hAnsi="宋体" w:cs="宋体"/>
          <w:position w:val="-2"/>
          <w:szCs w:val="21"/>
        </w:rPr>
        <w:t>的</w:t>
      </w:r>
      <w:r>
        <w:rPr>
          <w:rFonts w:ascii="宋体" w:hAnsi="宋体" w:cs="宋体"/>
          <w:spacing w:val="-2"/>
          <w:position w:val="-2"/>
          <w:szCs w:val="21"/>
        </w:rPr>
        <w:t>全</w:t>
      </w:r>
      <w:r>
        <w:rPr>
          <w:rFonts w:ascii="宋体" w:hAnsi="宋体" w:cs="宋体"/>
          <w:position w:val="-2"/>
          <w:szCs w:val="21"/>
        </w:rPr>
        <w:t>部要</w:t>
      </w:r>
      <w:r>
        <w:rPr>
          <w:rFonts w:ascii="宋体" w:hAnsi="宋体" w:cs="宋体"/>
          <w:spacing w:val="-2"/>
          <w:position w:val="-2"/>
          <w:szCs w:val="21"/>
        </w:rPr>
        <w:t>求</w:t>
      </w:r>
      <w:r>
        <w:rPr>
          <w:rFonts w:ascii="宋体" w:hAnsi="宋体" w:cs="宋体"/>
          <w:position w:val="-2"/>
          <w:szCs w:val="21"/>
        </w:rPr>
        <w:t>。</w:t>
      </w:r>
    </w:p>
    <w:p>
      <w:pPr>
        <w:spacing w:line="6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pStyle w:val="4"/>
        <w:spacing w:before="0" w:after="0" w:line="415" w:lineRule="auto"/>
        <w:jc w:val="center"/>
        <w:rPr>
          <w:rFonts w:ascii="宋体" w:hAnsi="宋体" w:cs="宋体"/>
        </w:rPr>
      </w:pPr>
      <w:r>
        <w:rPr>
          <w:rFonts w:hint="eastAsia" w:ascii="宋体" w:hAnsi="宋体"/>
          <w:b w:val="0"/>
        </w:rPr>
        <w:br w:type="page"/>
      </w:r>
      <w:bookmarkStart w:id="222" w:name="_Toc31791949"/>
      <w:r>
        <w:rPr>
          <w:rFonts w:hint="eastAsia" w:ascii="宋体" w:hAnsi="宋体"/>
          <w:b/>
          <w:bCs w:val="0"/>
          <w:lang w:val="en-US" w:eastAsia="zh-CN"/>
        </w:rPr>
        <w:t>六</w:t>
      </w:r>
      <w:r>
        <w:rPr>
          <w:rFonts w:hint="eastAsia" w:ascii="宋体" w:hAnsi="宋体"/>
          <w:lang w:val="en-US" w:eastAsia="zh-CN"/>
        </w:rPr>
        <w:t>、分项报价表</w:t>
      </w:r>
      <w:bookmarkEnd w:id="222"/>
    </w:p>
    <w:p>
      <w:pPr>
        <w:spacing w:before="7" w:line="110" w:lineRule="exact"/>
        <w:jc w:val="left"/>
        <w:rPr>
          <w:sz w:val="11"/>
          <w:szCs w:val="11"/>
        </w:rPr>
      </w:pPr>
    </w:p>
    <w:p>
      <w:pPr>
        <w:spacing w:line="200" w:lineRule="exact"/>
        <w:jc w:val="left"/>
        <w:rPr>
          <w:sz w:val="20"/>
        </w:rPr>
      </w:pPr>
    </w:p>
    <w:p>
      <w:pPr>
        <w:spacing w:line="200" w:lineRule="exact"/>
        <w:jc w:val="left"/>
        <w:rPr>
          <w:sz w:val="20"/>
        </w:rPr>
      </w:pPr>
    </w:p>
    <w:p>
      <w:pPr>
        <w:spacing w:line="200" w:lineRule="exact"/>
        <w:jc w:val="left"/>
        <w:rPr>
          <w:sz w:val="20"/>
        </w:rPr>
      </w:pPr>
    </w:p>
    <w:p>
      <w:pPr>
        <w:spacing w:line="400" w:lineRule="exact"/>
        <w:jc w:val="left"/>
        <w:rPr>
          <w:rFonts w:ascii="宋体" w:hAnsi="宋体" w:cs="宋体"/>
          <w:szCs w:val="21"/>
        </w:rPr>
      </w:pPr>
      <w:r>
        <w:rPr>
          <w:rFonts w:ascii="宋体" w:hAnsi="宋体"/>
          <w:position w:val="-1"/>
          <w:szCs w:val="21"/>
        </w:rPr>
        <w:t xml:space="preserve">1. </w:t>
      </w:r>
      <w:r>
        <w:rPr>
          <w:rFonts w:ascii="宋体" w:hAnsi="宋体" w:cs="宋体"/>
          <w:spacing w:val="-2"/>
          <w:position w:val="-1"/>
          <w:szCs w:val="21"/>
        </w:rPr>
        <w:t>分</w:t>
      </w:r>
      <w:r>
        <w:rPr>
          <w:rFonts w:ascii="宋体" w:hAnsi="宋体" w:cs="宋体"/>
          <w:position w:val="-1"/>
          <w:szCs w:val="21"/>
        </w:rPr>
        <w:t>项</w:t>
      </w:r>
      <w:r>
        <w:rPr>
          <w:rFonts w:ascii="宋体" w:hAnsi="宋体" w:cs="宋体"/>
          <w:spacing w:val="-2"/>
          <w:position w:val="-1"/>
          <w:szCs w:val="21"/>
        </w:rPr>
        <w:t>报</w:t>
      </w:r>
      <w:r>
        <w:rPr>
          <w:rFonts w:ascii="宋体" w:hAnsi="宋体" w:cs="宋体"/>
          <w:position w:val="-1"/>
          <w:szCs w:val="21"/>
        </w:rPr>
        <w:t>价</w:t>
      </w:r>
      <w:r>
        <w:rPr>
          <w:rFonts w:ascii="宋体" w:hAnsi="宋体" w:cs="宋体"/>
          <w:spacing w:val="-2"/>
          <w:position w:val="-1"/>
          <w:szCs w:val="21"/>
        </w:rPr>
        <w:t>表</w:t>
      </w:r>
      <w:r>
        <w:rPr>
          <w:rFonts w:ascii="宋体" w:hAnsi="宋体" w:cs="宋体"/>
          <w:position w:val="-1"/>
          <w:szCs w:val="21"/>
        </w:rPr>
        <w:t>说明</w:t>
      </w:r>
    </w:p>
    <w:p>
      <w:pPr>
        <w:spacing w:line="400" w:lineRule="exact"/>
        <w:jc w:val="left"/>
        <w:rPr>
          <w:rFonts w:ascii="宋体" w:hAnsi="宋体" w:cs="宋体"/>
          <w:szCs w:val="21"/>
        </w:rPr>
      </w:pPr>
      <w:r>
        <w:rPr>
          <w:rFonts w:ascii="宋体" w:hAnsi="宋体"/>
          <w:position w:val="-2"/>
          <w:szCs w:val="21"/>
        </w:rPr>
        <w:t xml:space="preserve">2. </w:t>
      </w:r>
      <w:r>
        <w:rPr>
          <w:rFonts w:ascii="宋体" w:hAnsi="宋体" w:cs="宋体"/>
          <w:spacing w:val="-2"/>
          <w:position w:val="-2"/>
          <w:szCs w:val="21"/>
        </w:rPr>
        <w:t>分</w:t>
      </w:r>
      <w:r>
        <w:rPr>
          <w:rFonts w:ascii="宋体" w:hAnsi="宋体" w:cs="宋体"/>
          <w:position w:val="-2"/>
          <w:szCs w:val="21"/>
        </w:rPr>
        <w:t>项</w:t>
      </w:r>
      <w:r>
        <w:rPr>
          <w:rFonts w:ascii="宋体" w:hAnsi="宋体" w:cs="宋体"/>
          <w:spacing w:val="-2"/>
          <w:position w:val="-2"/>
          <w:szCs w:val="21"/>
        </w:rPr>
        <w:t>报</w:t>
      </w:r>
      <w:r>
        <w:rPr>
          <w:rFonts w:ascii="宋体" w:hAnsi="宋体" w:cs="宋体"/>
          <w:position w:val="-2"/>
          <w:szCs w:val="21"/>
        </w:rPr>
        <w:t>价表</w:t>
      </w:r>
    </w:p>
    <w:p>
      <w:pPr>
        <w:spacing w:line="400" w:lineRule="exact"/>
        <w:jc w:val="right"/>
        <w:rPr>
          <w:rFonts w:ascii="宋体" w:hAnsi="宋体" w:cs="宋体"/>
          <w:szCs w:val="21"/>
        </w:rPr>
      </w:pPr>
      <w:r>
        <w:rPr>
          <w:rFonts w:ascii="宋体" w:hAnsi="宋体" w:cs="宋体"/>
          <w:position w:val="-2"/>
          <w:szCs w:val="21"/>
        </w:rPr>
        <w:t>单位</w:t>
      </w:r>
      <w:r>
        <w:rPr>
          <w:rFonts w:ascii="宋体" w:hAnsi="宋体" w:cs="宋体"/>
          <w:spacing w:val="-2"/>
          <w:position w:val="-2"/>
          <w:szCs w:val="21"/>
        </w:rPr>
        <w:t>：</w:t>
      </w:r>
      <w:r>
        <w:rPr>
          <w:rFonts w:ascii="宋体" w:hAnsi="宋体" w:cs="宋体"/>
          <w:position w:val="-2"/>
          <w:szCs w:val="21"/>
        </w:rPr>
        <w:t>人</w:t>
      </w:r>
      <w:r>
        <w:rPr>
          <w:rFonts w:ascii="宋体" w:hAnsi="宋体" w:cs="宋体"/>
          <w:spacing w:val="-2"/>
          <w:position w:val="-2"/>
          <w:szCs w:val="21"/>
        </w:rPr>
        <w:t>民</w:t>
      </w:r>
      <w:r>
        <w:rPr>
          <w:rFonts w:ascii="宋体" w:hAnsi="宋体" w:cs="宋体"/>
          <w:position w:val="-2"/>
          <w:szCs w:val="21"/>
        </w:rPr>
        <w:t>币元</w:t>
      </w:r>
    </w:p>
    <w:p>
      <w:pPr>
        <w:spacing w:before="6" w:line="50" w:lineRule="exact"/>
        <w:jc w:val="left"/>
        <w:rPr>
          <w:sz w:val="5"/>
          <w:szCs w:val="5"/>
        </w:rPr>
      </w:pPr>
    </w:p>
    <w:tbl>
      <w:tblPr>
        <w:tblStyle w:val="68"/>
        <w:tblW w:w="9668" w:type="dxa"/>
        <w:tblInd w:w="-15"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780"/>
        <w:gridCol w:w="1716"/>
        <w:gridCol w:w="1093"/>
        <w:gridCol w:w="1245"/>
        <w:gridCol w:w="1562"/>
        <w:gridCol w:w="1868"/>
        <w:gridCol w:w="1404"/>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15" w:hRule="exact"/>
        </w:trPr>
        <w:tc>
          <w:tcPr>
            <w:tcW w:w="780" w:type="dxa"/>
          </w:tcPr>
          <w:p>
            <w:pPr>
              <w:spacing w:line="307" w:lineRule="exact"/>
              <w:ind w:left="136" w:right="-20"/>
              <w:jc w:val="left"/>
              <w:rPr>
                <w:rFonts w:ascii="宋体" w:hAnsi="宋体" w:cs="宋体"/>
                <w:szCs w:val="21"/>
              </w:rPr>
            </w:pPr>
            <w:r>
              <w:rPr>
                <w:rFonts w:ascii="宋体" w:hAnsi="宋体" w:cs="宋体"/>
                <w:position w:val="-3"/>
                <w:szCs w:val="21"/>
              </w:rPr>
              <w:t>序号</w:t>
            </w:r>
          </w:p>
        </w:tc>
        <w:tc>
          <w:tcPr>
            <w:tcW w:w="1716" w:type="dxa"/>
          </w:tcPr>
          <w:p>
            <w:pPr>
              <w:spacing w:line="307" w:lineRule="exact"/>
              <w:ind w:left="352" w:right="-20"/>
              <w:jc w:val="left"/>
              <w:rPr>
                <w:rFonts w:ascii="宋体" w:hAnsi="宋体" w:cs="宋体"/>
                <w:szCs w:val="21"/>
              </w:rPr>
            </w:pPr>
            <w:r>
              <w:rPr>
                <w:rFonts w:ascii="宋体" w:hAnsi="宋体" w:cs="宋体"/>
                <w:position w:val="-3"/>
                <w:szCs w:val="21"/>
              </w:rPr>
              <w:t>分项名称</w:t>
            </w:r>
          </w:p>
        </w:tc>
        <w:tc>
          <w:tcPr>
            <w:tcW w:w="1093" w:type="dxa"/>
          </w:tcPr>
          <w:p>
            <w:pPr>
              <w:spacing w:line="307" w:lineRule="exact"/>
              <w:ind w:left="280" w:right="-20"/>
              <w:jc w:val="left"/>
              <w:rPr>
                <w:rFonts w:ascii="宋体" w:hAnsi="宋体" w:cs="宋体"/>
                <w:szCs w:val="21"/>
              </w:rPr>
            </w:pPr>
            <w:r>
              <w:rPr>
                <w:rFonts w:ascii="宋体" w:hAnsi="宋体" w:cs="宋体"/>
                <w:position w:val="-3"/>
                <w:szCs w:val="21"/>
              </w:rPr>
              <w:t>单位</w:t>
            </w:r>
          </w:p>
        </w:tc>
        <w:tc>
          <w:tcPr>
            <w:tcW w:w="1245" w:type="dxa"/>
          </w:tcPr>
          <w:p>
            <w:pPr>
              <w:spacing w:line="307" w:lineRule="exact"/>
              <w:ind w:left="349" w:right="-20"/>
              <w:jc w:val="left"/>
              <w:rPr>
                <w:rFonts w:ascii="宋体" w:hAnsi="宋体" w:cs="宋体"/>
                <w:szCs w:val="21"/>
              </w:rPr>
            </w:pPr>
            <w:r>
              <w:rPr>
                <w:rFonts w:ascii="宋体" w:hAnsi="宋体" w:cs="宋体"/>
                <w:position w:val="-3"/>
                <w:szCs w:val="21"/>
              </w:rPr>
              <w:t>数量</w:t>
            </w:r>
          </w:p>
        </w:tc>
        <w:tc>
          <w:tcPr>
            <w:tcW w:w="1562" w:type="dxa"/>
          </w:tcPr>
          <w:p>
            <w:pPr>
              <w:spacing w:line="307" w:lineRule="exact"/>
              <w:ind w:left="174" w:right="-20"/>
              <w:jc w:val="left"/>
              <w:rPr>
                <w:rFonts w:ascii="宋体" w:hAnsi="宋体" w:cs="宋体"/>
                <w:szCs w:val="21"/>
              </w:rPr>
            </w:pPr>
            <w:r>
              <w:rPr>
                <w:rFonts w:ascii="宋体" w:hAnsi="宋体" w:cs="宋体"/>
                <w:position w:val="-3"/>
                <w:szCs w:val="21"/>
              </w:rPr>
              <w:t>单价（元）</w:t>
            </w:r>
          </w:p>
        </w:tc>
        <w:tc>
          <w:tcPr>
            <w:tcW w:w="1868" w:type="dxa"/>
          </w:tcPr>
          <w:p>
            <w:pPr>
              <w:spacing w:line="307" w:lineRule="exact"/>
              <w:ind w:left="318" w:right="-20"/>
              <w:jc w:val="left"/>
              <w:rPr>
                <w:rFonts w:ascii="宋体" w:hAnsi="宋体" w:cs="宋体"/>
                <w:szCs w:val="21"/>
              </w:rPr>
            </w:pPr>
            <w:r>
              <w:rPr>
                <w:rFonts w:ascii="宋体" w:hAnsi="宋体" w:cs="宋体"/>
                <w:position w:val="-3"/>
                <w:szCs w:val="21"/>
              </w:rPr>
              <w:t>总价（元）</w:t>
            </w:r>
          </w:p>
        </w:tc>
        <w:tc>
          <w:tcPr>
            <w:tcW w:w="1404" w:type="dxa"/>
          </w:tcPr>
          <w:p>
            <w:pPr>
              <w:spacing w:line="307" w:lineRule="exact"/>
              <w:ind w:left="422" w:right="-20"/>
              <w:jc w:val="left"/>
              <w:rPr>
                <w:rFonts w:ascii="宋体" w:hAnsi="宋体" w:cs="宋体"/>
                <w:szCs w:val="21"/>
              </w:rPr>
            </w:pPr>
            <w:r>
              <w:rPr>
                <w:rFonts w:ascii="宋体" w:hAnsi="宋体" w:cs="宋体"/>
                <w:position w:val="-3"/>
                <w:szCs w:val="21"/>
              </w:rPr>
              <w:t>备注</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16" w:hRule="exact"/>
        </w:trPr>
        <w:tc>
          <w:tcPr>
            <w:tcW w:w="780" w:type="dxa"/>
          </w:tcPr>
          <w:p>
            <w:pPr>
              <w:spacing w:before="74"/>
              <w:ind w:left="258" w:right="241"/>
              <w:jc w:val="center"/>
              <w:rPr>
                <w:rFonts w:eastAsia="Times New Roman"/>
                <w:szCs w:val="21"/>
              </w:rPr>
            </w:pPr>
            <w:r>
              <w:rPr>
                <w:rFonts w:eastAsia="Times New Roman"/>
                <w:szCs w:val="21"/>
              </w:rPr>
              <w:t>1</w:t>
            </w:r>
          </w:p>
        </w:tc>
        <w:tc>
          <w:tcPr>
            <w:tcW w:w="1716" w:type="dxa"/>
          </w:tcPr>
          <w:p/>
        </w:tc>
        <w:tc>
          <w:tcPr>
            <w:tcW w:w="1093" w:type="dxa"/>
          </w:tcPr>
          <w:p/>
        </w:tc>
        <w:tc>
          <w:tcPr>
            <w:tcW w:w="1245" w:type="dxa"/>
          </w:tcPr>
          <w:p/>
        </w:tc>
        <w:tc>
          <w:tcPr>
            <w:tcW w:w="1562" w:type="dxa"/>
          </w:tcPr>
          <w:p/>
        </w:tc>
        <w:tc>
          <w:tcPr>
            <w:tcW w:w="1868" w:type="dxa"/>
          </w:tcPr>
          <w:p/>
        </w:tc>
        <w:tc>
          <w:tcPr>
            <w:tcW w:w="1404" w:type="dxa"/>
          </w:tc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15" w:hRule="exact"/>
        </w:trPr>
        <w:tc>
          <w:tcPr>
            <w:tcW w:w="780" w:type="dxa"/>
          </w:tcPr>
          <w:p>
            <w:pPr>
              <w:spacing w:before="74"/>
              <w:ind w:left="258" w:right="241"/>
              <w:jc w:val="center"/>
              <w:rPr>
                <w:rFonts w:eastAsia="Times New Roman"/>
                <w:szCs w:val="21"/>
              </w:rPr>
            </w:pPr>
            <w:r>
              <w:rPr>
                <w:rFonts w:eastAsia="Times New Roman"/>
                <w:szCs w:val="21"/>
              </w:rPr>
              <w:t>2</w:t>
            </w:r>
          </w:p>
        </w:tc>
        <w:tc>
          <w:tcPr>
            <w:tcW w:w="1716" w:type="dxa"/>
          </w:tcPr>
          <w:p/>
        </w:tc>
        <w:tc>
          <w:tcPr>
            <w:tcW w:w="1093" w:type="dxa"/>
          </w:tcPr>
          <w:p/>
        </w:tc>
        <w:tc>
          <w:tcPr>
            <w:tcW w:w="1245" w:type="dxa"/>
          </w:tcPr>
          <w:p/>
        </w:tc>
        <w:tc>
          <w:tcPr>
            <w:tcW w:w="1562" w:type="dxa"/>
          </w:tcPr>
          <w:p/>
        </w:tc>
        <w:tc>
          <w:tcPr>
            <w:tcW w:w="1868" w:type="dxa"/>
          </w:tcPr>
          <w:p>
            <w:pPr>
              <w:jc w:val="left"/>
            </w:pPr>
          </w:p>
        </w:tc>
        <w:tc>
          <w:tcPr>
            <w:tcW w:w="1404" w:type="dxa"/>
          </w:tc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15" w:hRule="exact"/>
        </w:trPr>
        <w:tc>
          <w:tcPr>
            <w:tcW w:w="780" w:type="dxa"/>
          </w:tcPr>
          <w:p>
            <w:pPr>
              <w:spacing w:before="74"/>
              <w:ind w:left="258" w:right="241"/>
              <w:jc w:val="center"/>
              <w:rPr>
                <w:rFonts w:eastAsia="Times New Roman"/>
                <w:szCs w:val="21"/>
              </w:rPr>
            </w:pPr>
            <w:r>
              <w:rPr>
                <w:rFonts w:eastAsia="Times New Roman"/>
                <w:szCs w:val="21"/>
              </w:rPr>
              <w:t>3</w:t>
            </w:r>
          </w:p>
        </w:tc>
        <w:tc>
          <w:tcPr>
            <w:tcW w:w="1716" w:type="dxa"/>
          </w:tcPr>
          <w:p/>
        </w:tc>
        <w:tc>
          <w:tcPr>
            <w:tcW w:w="1093" w:type="dxa"/>
          </w:tcPr>
          <w:p/>
        </w:tc>
        <w:tc>
          <w:tcPr>
            <w:tcW w:w="1245" w:type="dxa"/>
          </w:tcPr>
          <w:p/>
        </w:tc>
        <w:tc>
          <w:tcPr>
            <w:tcW w:w="1562" w:type="dxa"/>
          </w:tcPr>
          <w:p/>
        </w:tc>
        <w:tc>
          <w:tcPr>
            <w:tcW w:w="1868" w:type="dxa"/>
          </w:tcPr>
          <w:p/>
        </w:tc>
        <w:tc>
          <w:tcPr>
            <w:tcW w:w="1404" w:type="dxa"/>
          </w:tc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15" w:hRule="exact"/>
        </w:trPr>
        <w:tc>
          <w:tcPr>
            <w:tcW w:w="780" w:type="dxa"/>
          </w:tcPr>
          <w:p>
            <w:pPr>
              <w:spacing w:before="74"/>
              <w:ind w:left="258" w:right="241"/>
              <w:jc w:val="center"/>
              <w:rPr>
                <w:rFonts w:eastAsia="Times New Roman"/>
                <w:szCs w:val="21"/>
              </w:rPr>
            </w:pPr>
            <w:r>
              <w:rPr>
                <w:rFonts w:eastAsia="Times New Roman"/>
                <w:szCs w:val="21"/>
              </w:rPr>
              <w:t>4</w:t>
            </w:r>
          </w:p>
        </w:tc>
        <w:tc>
          <w:tcPr>
            <w:tcW w:w="1716" w:type="dxa"/>
          </w:tcPr>
          <w:p/>
        </w:tc>
        <w:tc>
          <w:tcPr>
            <w:tcW w:w="1093" w:type="dxa"/>
          </w:tcPr>
          <w:p/>
        </w:tc>
        <w:tc>
          <w:tcPr>
            <w:tcW w:w="1245" w:type="dxa"/>
          </w:tcPr>
          <w:p/>
        </w:tc>
        <w:tc>
          <w:tcPr>
            <w:tcW w:w="1562" w:type="dxa"/>
          </w:tcPr>
          <w:p/>
        </w:tc>
        <w:tc>
          <w:tcPr>
            <w:tcW w:w="1868" w:type="dxa"/>
          </w:tcPr>
          <w:p/>
        </w:tc>
        <w:tc>
          <w:tcPr>
            <w:tcW w:w="1404" w:type="dxa"/>
          </w:tc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15" w:hRule="exact"/>
        </w:trPr>
        <w:tc>
          <w:tcPr>
            <w:tcW w:w="780" w:type="dxa"/>
          </w:tcPr>
          <w:p>
            <w:pPr>
              <w:spacing w:before="74"/>
              <w:ind w:left="258" w:right="241"/>
              <w:jc w:val="center"/>
              <w:rPr>
                <w:rFonts w:eastAsia="Times New Roman"/>
                <w:szCs w:val="21"/>
              </w:rPr>
            </w:pPr>
            <w:r>
              <w:rPr>
                <w:rFonts w:eastAsia="Times New Roman"/>
                <w:szCs w:val="21"/>
              </w:rPr>
              <w:t>5</w:t>
            </w:r>
          </w:p>
        </w:tc>
        <w:tc>
          <w:tcPr>
            <w:tcW w:w="1716" w:type="dxa"/>
          </w:tcPr>
          <w:p/>
        </w:tc>
        <w:tc>
          <w:tcPr>
            <w:tcW w:w="1093" w:type="dxa"/>
          </w:tcPr>
          <w:p/>
        </w:tc>
        <w:tc>
          <w:tcPr>
            <w:tcW w:w="1245" w:type="dxa"/>
          </w:tcPr>
          <w:p/>
        </w:tc>
        <w:tc>
          <w:tcPr>
            <w:tcW w:w="1562" w:type="dxa"/>
          </w:tcPr>
          <w:p/>
        </w:tc>
        <w:tc>
          <w:tcPr>
            <w:tcW w:w="1868" w:type="dxa"/>
          </w:tcPr>
          <w:p/>
        </w:tc>
        <w:tc>
          <w:tcPr>
            <w:tcW w:w="1404" w:type="dxa"/>
          </w:tc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15" w:hRule="exact"/>
        </w:trPr>
        <w:tc>
          <w:tcPr>
            <w:tcW w:w="780" w:type="dxa"/>
          </w:tcPr>
          <w:p>
            <w:pPr>
              <w:spacing w:before="74"/>
              <w:ind w:left="138" w:right="-20"/>
              <w:jc w:val="left"/>
              <w:rPr>
                <w:rFonts w:eastAsia="Times New Roman"/>
                <w:szCs w:val="21"/>
              </w:rPr>
            </w:pPr>
            <w:r>
              <w:rPr>
                <w:rFonts w:eastAsia="Times New Roman"/>
                <w:szCs w:val="21"/>
              </w:rPr>
              <w:t>……</w:t>
            </w:r>
          </w:p>
        </w:tc>
        <w:tc>
          <w:tcPr>
            <w:tcW w:w="1716" w:type="dxa"/>
          </w:tcPr>
          <w:p>
            <w:pPr>
              <w:spacing w:before="74"/>
              <w:ind w:left="527" w:right="507"/>
              <w:jc w:val="center"/>
              <w:rPr>
                <w:rFonts w:eastAsia="Times New Roman"/>
                <w:szCs w:val="21"/>
              </w:rPr>
            </w:pPr>
            <w:r>
              <w:rPr>
                <w:rFonts w:eastAsia="Times New Roman"/>
                <w:szCs w:val="21"/>
              </w:rPr>
              <w:t>……</w:t>
            </w:r>
          </w:p>
        </w:tc>
        <w:tc>
          <w:tcPr>
            <w:tcW w:w="1093" w:type="dxa"/>
          </w:tcPr>
          <w:p/>
        </w:tc>
        <w:tc>
          <w:tcPr>
            <w:tcW w:w="1245" w:type="dxa"/>
          </w:tcPr>
          <w:p/>
        </w:tc>
        <w:tc>
          <w:tcPr>
            <w:tcW w:w="1562" w:type="dxa"/>
          </w:tcPr>
          <w:p/>
        </w:tc>
        <w:tc>
          <w:tcPr>
            <w:tcW w:w="1868" w:type="dxa"/>
          </w:tcPr>
          <w:p/>
        </w:tc>
        <w:tc>
          <w:tcPr>
            <w:tcW w:w="1404" w:type="dxa"/>
          </w:tc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15" w:hRule="exact"/>
        </w:trPr>
        <w:tc>
          <w:tcPr>
            <w:tcW w:w="6396" w:type="dxa"/>
            <w:gridSpan w:val="5"/>
          </w:tcPr>
          <w:p>
            <w:pPr>
              <w:spacing w:line="305" w:lineRule="exact"/>
              <w:ind w:left="2443" w:right="2423"/>
              <w:jc w:val="center"/>
              <w:rPr>
                <w:rFonts w:ascii="宋体" w:hAnsi="宋体" w:cs="宋体"/>
                <w:szCs w:val="21"/>
              </w:rPr>
            </w:pPr>
            <w:r>
              <w:rPr>
                <w:rFonts w:ascii="宋体" w:hAnsi="宋体" w:cs="宋体"/>
                <w:position w:val="-3"/>
                <w:szCs w:val="21"/>
              </w:rPr>
              <w:t>合计报价</w:t>
            </w:r>
          </w:p>
        </w:tc>
        <w:tc>
          <w:tcPr>
            <w:tcW w:w="1868" w:type="dxa"/>
          </w:tcPr>
          <w:p/>
        </w:tc>
        <w:tc>
          <w:tcPr>
            <w:tcW w:w="1404" w:type="dxa"/>
          </w:tcPr>
          <w:p/>
        </w:tc>
      </w:tr>
    </w:tbl>
    <w:p>
      <w:pPr>
        <w:rPr>
          <w:rFonts w:hint="eastAsia"/>
          <w:lang w:val="en-US" w:eastAsia="zh-CN"/>
        </w:rPr>
      </w:pPr>
      <w:bookmarkStart w:id="223" w:name="_Toc31791950"/>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pStyle w:val="4"/>
        <w:keepNext/>
        <w:keepLines/>
        <w:pageBreakBefore w:val="0"/>
        <w:widowControl/>
        <w:kinsoku/>
        <w:wordWrap/>
        <w:overflowPunct/>
        <w:topLinePunct w:val="0"/>
        <w:autoSpaceDE/>
        <w:autoSpaceDN/>
        <w:bidi w:val="0"/>
        <w:adjustRightInd/>
        <w:snapToGrid/>
        <w:spacing w:line="240" w:lineRule="auto"/>
        <w:ind w:firstLine="3534" w:firstLineChars="1100"/>
        <w:textAlignment w:val="auto"/>
        <w:rPr>
          <w:rFonts w:hint="eastAsia"/>
          <w:lang w:val="en-US" w:eastAsia="zh-CN"/>
        </w:rPr>
      </w:pPr>
      <w:r>
        <w:rPr>
          <w:rFonts w:hint="eastAsia"/>
          <w:lang w:val="en-US" w:eastAsia="zh-CN"/>
        </w:rPr>
        <w:t>七、资格审查资料</w:t>
      </w:r>
      <w:bookmarkEnd w:id="223"/>
    </w:p>
    <w:p>
      <w:pPr>
        <w:spacing w:before="7" w:line="140" w:lineRule="exact"/>
        <w:jc w:val="left"/>
        <w:rPr>
          <w:sz w:val="14"/>
          <w:szCs w:val="14"/>
        </w:rPr>
      </w:pPr>
    </w:p>
    <w:p>
      <w:pPr>
        <w:spacing w:line="200" w:lineRule="exact"/>
        <w:jc w:val="left"/>
        <w:rPr>
          <w:sz w:val="20"/>
        </w:rPr>
      </w:pPr>
    </w:p>
    <w:p>
      <w:pPr>
        <w:pStyle w:val="5"/>
        <w:keepNext/>
        <w:keepLines/>
        <w:pageBreakBefore w:val="0"/>
        <w:widowControl/>
        <w:kinsoku/>
        <w:wordWrap/>
        <w:overflowPunct/>
        <w:topLinePunct w:val="0"/>
        <w:autoSpaceDE/>
        <w:autoSpaceDN/>
        <w:bidi w:val="0"/>
        <w:adjustRightInd/>
        <w:snapToGrid/>
        <w:spacing w:line="120" w:lineRule="auto"/>
        <w:jc w:val="center"/>
        <w:textAlignment w:val="auto"/>
      </w:pPr>
      <w:r>
        <w:t>（一）基本情况表</w:t>
      </w:r>
    </w:p>
    <w:p>
      <w:pPr>
        <w:spacing w:line="100" w:lineRule="exact"/>
        <w:jc w:val="left"/>
        <w:rPr>
          <w:sz w:val="10"/>
          <w:szCs w:val="10"/>
        </w:rPr>
      </w:pPr>
    </w:p>
    <w:p>
      <w:pPr>
        <w:spacing w:line="200" w:lineRule="exact"/>
        <w:jc w:val="left"/>
        <w:rPr>
          <w:sz w:val="20"/>
        </w:rPr>
      </w:pPr>
    </w:p>
    <w:tbl>
      <w:tblPr>
        <w:tblStyle w:val="68"/>
        <w:tblW w:w="9376"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2618"/>
        <w:gridCol w:w="1220"/>
        <w:gridCol w:w="2134"/>
        <w:gridCol w:w="1135"/>
        <w:gridCol w:w="2269"/>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1" w:hRule="exact"/>
          <w:jc w:val="center"/>
        </w:trPr>
        <w:tc>
          <w:tcPr>
            <w:tcW w:w="2618" w:type="dxa"/>
            <w:vAlign w:val="center"/>
          </w:tcPr>
          <w:p>
            <w:pPr>
              <w:spacing w:before="71"/>
              <w:ind w:right="-20"/>
              <w:jc w:val="center"/>
              <w:rPr>
                <w:rFonts w:ascii="宋体" w:hAnsi="宋体" w:cs="宋体"/>
                <w:szCs w:val="21"/>
              </w:rPr>
            </w:pPr>
            <w:r>
              <w:rPr>
                <w:rFonts w:ascii="宋体" w:hAnsi="宋体" w:cs="宋体"/>
                <w:szCs w:val="21"/>
              </w:rPr>
              <w:t>投标</w:t>
            </w:r>
            <w:r>
              <w:rPr>
                <w:rFonts w:ascii="宋体" w:hAnsi="宋体" w:cs="宋体"/>
                <w:spacing w:val="-2"/>
                <w:szCs w:val="21"/>
              </w:rPr>
              <w:t>人</w:t>
            </w:r>
            <w:r>
              <w:rPr>
                <w:rFonts w:ascii="宋体" w:hAnsi="宋体" w:cs="宋体"/>
                <w:szCs w:val="21"/>
              </w:rPr>
              <w:t>名称</w:t>
            </w:r>
          </w:p>
        </w:tc>
        <w:tc>
          <w:tcPr>
            <w:tcW w:w="6758" w:type="dxa"/>
            <w:gridSpan w:val="4"/>
          </w:tcPr>
          <w:p>
            <w:pPr>
              <w:rPr>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49" w:hRule="exact"/>
          <w:jc w:val="center"/>
        </w:trPr>
        <w:tc>
          <w:tcPr>
            <w:tcW w:w="2618" w:type="dxa"/>
            <w:vAlign w:val="center"/>
          </w:tcPr>
          <w:p>
            <w:pPr>
              <w:spacing w:before="71"/>
              <w:ind w:right="-20"/>
              <w:jc w:val="center"/>
              <w:rPr>
                <w:rFonts w:ascii="宋体" w:hAnsi="宋体" w:cs="宋体"/>
                <w:szCs w:val="21"/>
              </w:rPr>
            </w:pPr>
            <w:r>
              <w:rPr>
                <w:rFonts w:ascii="宋体" w:hAnsi="宋体" w:cs="宋体"/>
                <w:szCs w:val="21"/>
              </w:rPr>
              <w:t>注册</w:t>
            </w:r>
            <w:r>
              <w:rPr>
                <w:rFonts w:ascii="宋体" w:hAnsi="宋体" w:cs="宋体"/>
                <w:spacing w:val="-2"/>
                <w:szCs w:val="21"/>
              </w:rPr>
              <w:t>资金</w:t>
            </w:r>
          </w:p>
        </w:tc>
        <w:tc>
          <w:tcPr>
            <w:tcW w:w="3354" w:type="dxa"/>
            <w:gridSpan w:val="2"/>
          </w:tcPr>
          <w:p>
            <w:pPr>
              <w:rPr>
                <w:szCs w:val="21"/>
              </w:rPr>
            </w:pPr>
          </w:p>
        </w:tc>
        <w:tc>
          <w:tcPr>
            <w:tcW w:w="1135" w:type="dxa"/>
          </w:tcPr>
          <w:p>
            <w:pPr>
              <w:spacing w:before="71"/>
              <w:ind w:left="141" w:right="-20"/>
              <w:jc w:val="left"/>
              <w:rPr>
                <w:rFonts w:ascii="宋体" w:hAnsi="宋体" w:cs="宋体"/>
                <w:szCs w:val="21"/>
              </w:rPr>
            </w:pPr>
            <w:r>
              <w:rPr>
                <w:rFonts w:ascii="宋体" w:hAnsi="宋体" w:cs="宋体"/>
                <w:szCs w:val="21"/>
              </w:rPr>
              <w:t>成立</w:t>
            </w:r>
            <w:r>
              <w:rPr>
                <w:rFonts w:ascii="宋体" w:hAnsi="宋体" w:cs="宋体"/>
                <w:spacing w:val="-2"/>
                <w:szCs w:val="21"/>
              </w:rPr>
              <w:t>时</w:t>
            </w:r>
            <w:r>
              <w:rPr>
                <w:rFonts w:ascii="宋体" w:hAnsi="宋体" w:cs="宋体"/>
                <w:szCs w:val="21"/>
              </w:rPr>
              <w:t>间</w:t>
            </w:r>
          </w:p>
        </w:tc>
        <w:tc>
          <w:tcPr>
            <w:tcW w:w="2269" w:type="dxa"/>
          </w:tcPr>
          <w:p>
            <w:pPr>
              <w:rPr>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1" w:hRule="exact"/>
          <w:jc w:val="center"/>
        </w:trPr>
        <w:tc>
          <w:tcPr>
            <w:tcW w:w="2618" w:type="dxa"/>
            <w:vAlign w:val="center"/>
          </w:tcPr>
          <w:p>
            <w:pPr>
              <w:spacing w:before="71"/>
              <w:ind w:right="-20"/>
              <w:jc w:val="center"/>
              <w:rPr>
                <w:rFonts w:ascii="宋体" w:hAnsi="宋体" w:cs="宋体"/>
                <w:szCs w:val="21"/>
              </w:rPr>
            </w:pPr>
            <w:r>
              <w:rPr>
                <w:rFonts w:ascii="宋体" w:hAnsi="宋体" w:cs="宋体"/>
                <w:szCs w:val="21"/>
              </w:rPr>
              <w:t>注册</w:t>
            </w:r>
            <w:r>
              <w:rPr>
                <w:rFonts w:ascii="宋体" w:hAnsi="宋体" w:cs="宋体"/>
                <w:spacing w:val="-2"/>
                <w:szCs w:val="21"/>
              </w:rPr>
              <w:t>地</w:t>
            </w:r>
            <w:r>
              <w:rPr>
                <w:rFonts w:ascii="宋体" w:hAnsi="宋体" w:cs="宋体"/>
                <w:szCs w:val="21"/>
              </w:rPr>
              <w:t>址</w:t>
            </w:r>
          </w:p>
        </w:tc>
        <w:tc>
          <w:tcPr>
            <w:tcW w:w="6758" w:type="dxa"/>
            <w:gridSpan w:val="4"/>
          </w:tcPr>
          <w:p>
            <w:pPr>
              <w:rPr>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49" w:hRule="exact"/>
          <w:jc w:val="center"/>
        </w:trPr>
        <w:tc>
          <w:tcPr>
            <w:tcW w:w="2618" w:type="dxa"/>
            <w:vAlign w:val="center"/>
          </w:tcPr>
          <w:p>
            <w:pPr>
              <w:spacing w:before="72"/>
              <w:ind w:right="-20"/>
              <w:jc w:val="center"/>
              <w:rPr>
                <w:rFonts w:ascii="宋体" w:hAnsi="宋体" w:cs="宋体"/>
                <w:szCs w:val="21"/>
              </w:rPr>
            </w:pPr>
            <w:r>
              <w:rPr>
                <w:rFonts w:ascii="宋体" w:hAnsi="宋体" w:cs="宋体"/>
                <w:szCs w:val="21"/>
              </w:rPr>
              <w:t>邮政</w:t>
            </w:r>
            <w:r>
              <w:rPr>
                <w:rFonts w:ascii="宋体" w:hAnsi="宋体" w:cs="宋体"/>
                <w:spacing w:val="-2"/>
                <w:szCs w:val="21"/>
              </w:rPr>
              <w:t>编</w:t>
            </w:r>
            <w:r>
              <w:rPr>
                <w:rFonts w:ascii="宋体" w:hAnsi="宋体" w:cs="宋体"/>
                <w:szCs w:val="21"/>
              </w:rPr>
              <w:t>码</w:t>
            </w:r>
          </w:p>
        </w:tc>
        <w:tc>
          <w:tcPr>
            <w:tcW w:w="3354" w:type="dxa"/>
            <w:gridSpan w:val="2"/>
          </w:tcPr>
          <w:p>
            <w:pPr>
              <w:rPr>
                <w:szCs w:val="21"/>
              </w:rPr>
            </w:pPr>
          </w:p>
        </w:tc>
        <w:tc>
          <w:tcPr>
            <w:tcW w:w="1135" w:type="dxa"/>
          </w:tcPr>
          <w:p>
            <w:pPr>
              <w:spacing w:before="72"/>
              <w:ind w:left="141" w:right="-20"/>
              <w:jc w:val="left"/>
              <w:rPr>
                <w:rFonts w:ascii="宋体" w:hAnsi="宋体" w:cs="宋体"/>
                <w:szCs w:val="21"/>
              </w:rPr>
            </w:pPr>
            <w:r>
              <w:rPr>
                <w:rFonts w:ascii="宋体" w:hAnsi="宋体" w:cs="宋体"/>
                <w:szCs w:val="21"/>
              </w:rPr>
              <w:t>员工</w:t>
            </w:r>
            <w:r>
              <w:rPr>
                <w:rFonts w:ascii="宋体" w:hAnsi="宋体" w:cs="宋体"/>
                <w:spacing w:val="-2"/>
                <w:szCs w:val="21"/>
              </w:rPr>
              <w:t>总</w:t>
            </w:r>
            <w:r>
              <w:rPr>
                <w:rFonts w:ascii="宋体" w:hAnsi="宋体" w:cs="宋体"/>
                <w:szCs w:val="21"/>
              </w:rPr>
              <w:t>数</w:t>
            </w:r>
          </w:p>
        </w:tc>
        <w:tc>
          <w:tcPr>
            <w:tcW w:w="2269" w:type="dxa"/>
          </w:tcPr>
          <w:p>
            <w:pPr>
              <w:rPr>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1" w:hRule="exact"/>
          <w:jc w:val="center"/>
        </w:trPr>
        <w:tc>
          <w:tcPr>
            <w:tcW w:w="2618" w:type="dxa"/>
            <w:vMerge w:val="restart"/>
            <w:vAlign w:val="center"/>
          </w:tcPr>
          <w:p>
            <w:pPr>
              <w:ind w:right="-20"/>
              <w:jc w:val="center"/>
              <w:rPr>
                <w:rFonts w:ascii="宋体" w:hAnsi="宋体" w:cs="宋体"/>
                <w:szCs w:val="21"/>
              </w:rPr>
            </w:pPr>
            <w:r>
              <w:rPr>
                <w:rFonts w:ascii="宋体" w:hAnsi="宋体" w:cs="宋体"/>
                <w:szCs w:val="21"/>
              </w:rPr>
              <w:t>联系</w:t>
            </w:r>
            <w:r>
              <w:rPr>
                <w:rFonts w:ascii="宋体" w:hAnsi="宋体" w:cs="宋体"/>
                <w:spacing w:val="-2"/>
                <w:szCs w:val="21"/>
              </w:rPr>
              <w:t>方</w:t>
            </w:r>
            <w:r>
              <w:rPr>
                <w:rFonts w:ascii="宋体" w:hAnsi="宋体" w:cs="宋体"/>
                <w:szCs w:val="21"/>
              </w:rPr>
              <w:t>式</w:t>
            </w:r>
          </w:p>
        </w:tc>
        <w:tc>
          <w:tcPr>
            <w:tcW w:w="1220" w:type="dxa"/>
          </w:tcPr>
          <w:p>
            <w:pPr>
              <w:spacing w:before="71"/>
              <w:ind w:left="148" w:right="-20"/>
              <w:jc w:val="left"/>
              <w:rPr>
                <w:rFonts w:ascii="宋体" w:hAnsi="宋体" w:cs="宋体"/>
                <w:szCs w:val="21"/>
              </w:rPr>
            </w:pPr>
            <w:r>
              <w:rPr>
                <w:rFonts w:ascii="宋体" w:hAnsi="宋体" w:cs="宋体"/>
                <w:szCs w:val="21"/>
              </w:rPr>
              <w:t>联系人</w:t>
            </w:r>
          </w:p>
        </w:tc>
        <w:tc>
          <w:tcPr>
            <w:tcW w:w="2134" w:type="dxa"/>
          </w:tcPr>
          <w:p>
            <w:pPr>
              <w:rPr>
                <w:szCs w:val="21"/>
              </w:rPr>
            </w:pPr>
          </w:p>
        </w:tc>
        <w:tc>
          <w:tcPr>
            <w:tcW w:w="1135" w:type="dxa"/>
          </w:tcPr>
          <w:p>
            <w:pPr>
              <w:spacing w:before="71"/>
              <w:ind w:left="352" w:right="-20"/>
              <w:jc w:val="left"/>
              <w:rPr>
                <w:rFonts w:ascii="宋体" w:hAnsi="宋体" w:cs="宋体"/>
                <w:szCs w:val="21"/>
              </w:rPr>
            </w:pPr>
            <w:r>
              <w:rPr>
                <w:rFonts w:ascii="宋体" w:hAnsi="宋体" w:cs="宋体"/>
                <w:szCs w:val="21"/>
              </w:rPr>
              <w:t>电话</w:t>
            </w:r>
          </w:p>
        </w:tc>
        <w:tc>
          <w:tcPr>
            <w:tcW w:w="2269" w:type="dxa"/>
          </w:tcPr>
          <w:p>
            <w:pPr>
              <w:rPr>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49" w:hRule="exact"/>
          <w:jc w:val="center"/>
        </w:trPr>
        <w:tc>
          <w:tcPr>
            <w:tcW w:w="2618" w:type="dxa"/>
            <w:vMerge w:val="continue"/>
            <w:vAlign w:val="center"/>
          </w:tcPr>
          <w:p>
            <w:pPr>
              <w:jc w:val="center"/>
              <w:rPr>
                <w:szCs w:val="21"/>
              </w:rPr>
            </w:pPr>
          </w:p>
        </w:tc>
        <w:tc>
          <w:tcPr>
            <w:tcW w:w="1220" w:type="dxa"/>
          </w:tcPr>
          <w:p>
            <w:pPr>
              <w:spacing w:before="71"/>
              <w:ind w:left="253" w:right="-20"/>
              <w:jc w:val="left"/>
              <w:rPr>
                <w:rFonts w:ascii="宋体" w:hAnsi="宋体" w:cs="宋体"/>
                <w:szCs w:val="21"/>
              </w:rPr>
            </w:pPr>
            <w:r>
              <w:rPr>
                <w:rFonts w:ascii="宋体" w:hAnsi="宋体" w:cs="宋体"/>
                <w:szCs w:val="21"/>
              </w:rPr>
              <w:t>网址</w:t>
            </w:r>
          </w:p>
        </w:tc>
        <w:tc>
          <w:tcPr>
            <w:tcW w:w="2134" w:type="dxa"/>
          </w:tcPr>
          <w:p>
            <w:pPr>
              <w:rPr>
                <w:szCs w:val="21"/>
              </w:rPr>
            </w:pPr>
          </w:p>
        </w:tc>
        <w:tc>
          <w:tcPr>
            <w:tcW w:w="1135" w:type="dxa"/>
          </w:tcPr>
          <w:p>
            <w:pPr>
              <w:spacing w:before="71"/>
              <w:ind w:left="352" w:right="-20"/>
              <w:jc w:val="left"/>
              <w:rPr>
                <w:rFonts w:ascii="宋体" w:hAnsi="宋体" w:cs="宋体"/>
                <w:szCs w:val="21"/>
              </w:rPr>
            </w:pPr>
            <w:r>
              <w:rPr>
                <w:rFonts w:ascii="宋体" w:hAnsi="宋体" w:cs="宋体"/>
                <w:szCs w:val="21"/>
              </w:rPr>
              <w:t>传真</w:t>
            </w:r>
          </w:p>
        </w:tc>
        <w:tc>
          <w:tcPr>
            <w:tcW w:w="2269" w:type="dxa"/>
          </w:tcPr>
          <w:p>
            <w:pPr>
              <w:rPr>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890" w:hRule="exact"/>
          <w:jc w:val="center"/>
        </w:trPr>
        <w:tc>
          <w:tcPr>
            <w:tcW w:w="2618" w:type="dxa"/>
            <w:vAlign w:val="center"/>
          </w:tcPr>
          <w:p>
            <w:pPr>
              <w:spacing w:before="71"/>
              <w:ind w:left="520" w:right="497"/>
              <w:jc w:val="center"/>
              <w:rPr>
                <w:rFonts w:ascii="宋体" w:hAnsi="宋体" w:cs="宋体"/>
                <w:szCs w:val="21"/>
              </w:rPr>
            </w:pPr>
            <w:r>
              <w:rPr>
                <w:rFonts w:ascii="宋体" w:hAnsi="宋体" w:cs="宋体"/>
                <w:szCs w:val="21"/>
              </w:rPr>
              <w:t>法定</w:t>
            </w:r>
            <w:r>
              <w:rPr>
                <w:rFonts w:ascii="宋体" w:hAnsi="宋体" w:cs="宋体"/>
                <w:spacing w:val="-2"/>
                <w:szCs w:val="21"/>
              </w:rPr>
              <w:t>代</w:t>
            </w:r>
            <w:r>
              <w:rPr>
                <w:rFonts w:ascii="宋体" w:hAnsi="宋体" w:cs="宋体"/>
                <w:szCs w:val="21"/>
              </w:rPr>
              <w:t>表人</w:t>
            </w:r>
          </w:p>
          <w:p>
            <w:pPr>
              <w:spacing w:before="2" w:line="130" w:lineRule="exact"/>
              <w:jc w:val="center"/>
              <w:rPr>
                <w:szCs w:val="21"/>
              </w:rPr>
            </w:pPr>
          </w:p>
          <w:p>
            <w:pPr>
              <w:ind w:left="256" w:right="341"/>
              <w:jc w:val="center"/>
              <w:rPr>
                <w:rFonts w:ascii="宋体" w:hAnsi="宋体" w:cs="宋体"/>
                <w:szCs w:val="21"/>
              </w:rPr>
            </w:pPr>
            <w:r>
              <w:rPr>
                <w:rFonts w:ascii="宋体" w:hAnsi="宋体" w:cs="宋体"/>
                <w:szCs w:val="21"/>
              </w:rPr>
              <w:t>（单</w:t>
            </w:r>
            <w:r>
              <w:rPr>
                <w:rFonts w:ascii="宋体" w:hAnsi="宋体" w:cs="宋体"/>
                <w:spacing w:val="-2"/>
                <w:szCs w:val="21"/>
              </w:rPr>
              <w:t>位</w:t>
            </w:r>
            <w:r>
              <w:rPr>
                <w:rFonts w:ascii="宋体" w:hAnsi="宋体" w:cs="宋体"/>
                <w:szCs w:val="21"/>
              </w:rPr>
              <w:t>负</w:t>
            </w:r>
            <w:r>
              <w:rPr>
                <w:rFonts w:ascii="宋体" w:hAnsi="宋体" w:cs="宋体"/>
                <w:spacing w:val="-2"/>
                <w:szCs w:val="21"/>
              </w:rPr>
              <w:t>责</w:t>
            </w:r>
            <w:r>
              <w:rPr>
                <w:rFonts w:ascii="宋体" w:hAnsi="宋体" w:cs="宋体"/>
                <w:szCs w:val="21"/>
              </w:rPr>
              <w:t>人）</w:t>
            </w:r>
          </w:p>
        </w:tc>
        <w:tc>
          <w:tcPr>
            <w:tcW w:w="1220" w:type="dxa"/>
          </w:tcPr>
          <w:p>
            <w:pPr>
              <w:spacing w:before="12" w:line="280" w:lineRule="exact"/>
              <w:jc w:val="left"/>
              <w:rPr>
                <w:szCs w:val="21"/>
              </w:rPr>
            </w:pPr>
          </w:p>
          <w:p>
            <w:pPr>
              <w:ind w:left="253" w:right="-20"/>
              <w:jc w:val="left"/>
              <w:rPr>
                <w:rFonts w:ascii="宋体" w:hAnsi="宋体" w:cs="宋体"/>
                <w:szCs w:val="21"/>
              </w:rPr>
            </w:pPr>
            <w:r>
              <w:rPr>
                <w:rFonts w:ascii="宋体" w:hAnsi="宋体" w:cs="宋体"/>
                <w:szCs w:val="21"/>
              </w:rPr>
              <w:t>姓名</w:t>
            </w:r>
          </w:p>
        </w:tc>
        <w:tc>
          <w:tcPr>
            <w:tcW w:w="2134" w:type="dxa"/>
          </w:tcPr>
          <w:p>
            <w:pPr>
              <w:rPr>
                <w:szCs w:val="21"/>
              </w:rPr>
            </w:pPr>
          </w:p>
        </w:tc>
        <w:tc>
          <w:tcPr>
            <w:tcW w:w="1135" w:type="dxa"/>
          </w:tcPr>
          <w:p>
            <w:pPr>
              <w:spacing w:before="12" w:line="280" w:lineRule="exact"/>
              <w:jc w:val="left"/>
              <w:rPr>
                <w:szCs w:val="21"/>
              </w:rPr>
            </w:pPr>
          </w:p>
          <w:p>
            <w:pPr>
              <w:ind w:left="352" w:right="-20"/>
              <w:jc w:val="left"/>
              <w:rPr>
                <w:rFonts w:ascii="宋体" w:hAnsi="宋体" w:cs="宋体"/>
                <w:szCs w:val="21"/>
              </w:rPr>
            </w:pPr>
            <w:r>
              <w:rPr>
                <w:rFonts w:ascii="宋体" w:hAnsi="宋体" w:cs="宋体"/>
                <w:szCs w:val="21"/>
              </w:rPr>
              <w:t>电话</w:t>
            </w:r>
          </w:p>
        </w:tc>
        <w:tc>
          <w:tcPr>
            <w:tcW w:w="2269" w:type="dxa"/>
          </w:tcPr>
          <w:p>
            <w:pPr>
              <w:rPr>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330" w:hRule="exact"/>
          <w:jc w:val="center"/>
        </w:trPr>
        <w:tc>
          <w:tcPr>
            <w:tcW w:w="2618" w:type="dxa"/>
            <w:vAlign w:val="center"/>
          </w:tcPr>
          <w:p>
            <w:pPr>
              <w:spacing w:before="71" w:line="342" w:lineRule="auto"/>
              <w:ind w:left="113" w:right="90"/>
              <w:jc w:val="center"/>
              <w:rPr>
                <w:rFonts w:ascii="宋体" w:hAnsi="宋体" w:cs="宋体"/>
                <w:szCs w:val="21"/>
              </w:rPr>
            </w:pPr>
            <w:r>
              <w:rPr>
                <w:rFonts w:ascii="宋体" w:hAnsi="宋体" w:cs="宋体"/>
                <w:szCs w:val="21"/>
              </w:rPr>
              <w:t>投标</w:t>
            </w:r>
            <w:r>
              <w:rPr>
                <w:rFonts w:ascii="宋体" w:hAnsi="宋体" w:cs="宋体"/>
                <w:spacing w:val="-2"/>
                <w:szCs w:val="21"/>
              </w:rPr>
              <w:t>人</w:t>
            </w:r>
            <w:r>
              <w:rPr>
                <w:rFonts w:ascii="宋体" w:hAnsi="宋体" w:cs="宋体"/>
                <w:szCs w:val="21"/>
              </w:rPr>
              <w:t>须</w:t>
            </w:r>
            <w:r>
              <w:rPr>
                <w:rFonts w:ascii="宋体" w:hAnsi="宋体" w:cs="宋体"/>
                <w:spacing w:val="-2"/>
                <w:szCs w:val="21"/>
              </w:rPr>
              <w:t>知</w:t>
            </w:r>
            <w:r>
              <w:rPr>
                <w:rFonts w:ascii="宋体" w:hAnsi="宋体" w:cs="宋体"/>
                <w:szCs w:val="21"/>
              </w:rPr>
              <w:t>要</w:t>
            </w:r>
            <w:r>
              <w:rPr>
                <w:rFonts w:ascii="宋体" w:hAnsi="宋体" w:cs="宋体"/>
                <w:spacing w:val="-2"/>
                <w:szCs w:val="21"/>
              </w:rPr>
              <w:t>求</w:t>
            </w:r>
            <w:r>
              <w:rPr>
                <w:rFonts w:ascii="宋体" w:hAnsi="宋体" w:cs="宋体"/>
                <w:szCs w:val="21"/>
              </w:rPr>
              <w:t>投标 人需</w:t>
            </w:r>
            <w:r>
              <w:rPr>
                <w:rFonts w:ascii="宋体" w:hAnsi="宋体" w:cs="宋体"/>
                <w:spacing w:val="-2"/>
                <w:szCs w:val="21"/>
              </w:rPr>
              <w:t>具</w:t>
            </w:r>
            <w:r>
              <w:rPr>
                <w:rFonts w:ascii="宋体" w:hAnsi="宋体" w:cs="宋体"/>
                <w:szCs w:val="21"/>
              </w:rPr>
              <w:t>有</w:t>
            </w:r>
            <w:r>
              <w:rPr>
                <w:rFonts w:ascii="宋体" w:hAnsi="宋体" w:cs="宋体"/>
                <w:spacing w:val="-2"/>
                <w:szCs w:val="21"/>
              </w:rPr>
              <w:t>的</w:t>
            </w:r>
            <w:r>
              <w:rPr>
                <w:rFonts w:ascii="宋体" w:hAnsi="宋体" w:cs="宋体"/>
                <w:szCs w:val="21"/>
              </w:rPr>
              <w:t>各</w:t>
            </w:r>
            <w:r>
              <w:rPr>
                <w:rFonts w:ascii="宋体" w:hAnsi="宋体" w:cs="宋体"/>
                <w:spacing w:val="-2"/>
                <w:szCs w:val="21"/>
              </w:rPr>
              <w:t>类</w:t>
            </w:r>
            <w:r>
              <w:rPr>
                <w:rFonts w:ascii="宋体" w:hAnsi="宋体" w:cs="宋体"/>
                <w:szCs w:val="21"/>
              </w:rPr>
              <w:t>资质</w:t>
            </w:r>
          </w:p>
          <w:p>
            <w:pPr>
              <w:spacing w:before="40"/>
              <w:ind w:left="834" w:right="814"/>
              <w:jc w:val="center"/>
              <w:rPr>
                <w:rFonts w:ascii="宋体" w:hAnsi="宋体" w:cs="宋体"/>
                <w:szCs w:val="21"/>
              </w:rPr>
            </w:pPr>
            <w:r>
              <w:rPr>
                <w:rFonts w:ascii="宋体" w:hAnsi="宋体" w:cs="宋体"/>
                <w:szCs w:val="21"/>
              </w:rPr>
              <w:t>证书</w:t>
            </w:r>
          </w:p>
        </w:tc>
        <w:tc>
          <w:tcPr>
            <w:tcW w:w="6758" w:type="dxa"/>
            <w:gridSpan w:val="4"/>
          </w:tcPr>
          <w:p>
            <w:pPr>
              <w:spacing w:before="3" w:line="110" w:lineRule="exact"/>
              <w:jc w:val="left"/>
              <w:rPr>
                <w:szCs w:val="21"/>
              </w:rPr>
            </w:pPr>
          </w:p>
          <w:p>
            <w:pPr>
              <w:spacing w:line="200" w:lineRule="exact"/>
              <w:jc w:val="left"/>
              <w:rPr>
                <w:szCs w:val="21"/>
              </w:rPr>
            </w:pPr>
          </w:p>
          <w:p>
            <w:pPr>
              <w:spacing w:line="200" w:lineRule="exact"/>
              <w:jc w:val="left"/>
              <w:rPr>
                <w:szCs w:val="21"/>
              </w:rPr>
            </w:pPr>
          </w:p>
          <w:p>
            <w:pPr>
              <w:tabs>
                <w:tab w:val="left" w:pos="2300"/>
                <w:tab w:val="left" w:pos="4400"/>
              </w:tabs>
              <w:ind w:left="205" w:right="-20"/>
              <w:jc w:val="left"/>
              <w:rPr>
                <w:rFonts w:ascii="宋体" w:hAnsi="宋体" w:cs="宋体"/>
                <w:szCs w:val="21"/>
              </w:rPr>
            </w:pPr>
            <w:r>
              <w:rPr>
                <w:rFonts w:ascii="宋体" w:hAnsi="宋体" w:cs="宋体"/>
                <w:szCs w:val="21"/>
              </w:rPr>
              <w:t>类型：</w:t>
            </w:r>
            <w:r>
              <w:rPr>
                <w:rFonts w:ascii="宋体" w:hAnsi="宋体" w:cs="宋体"/>
                <w:szCs w:val="21"/>
              </w:rPr>
              <w:tab/>
            </w:r>
            <w:r>
              <w:rPr>
                <w:rFonts w:ascii="宋体" w:hAnsi="宋体" w:cs="宋体"/>
                <w:spacing w:val="-2"/>
                <w:szCs w:val="21"/>
              </w:rPr>
              <w:t>等</w:t>
            </w:r>
            <w:r>
              <w:rPr>
                <w:rFonts w:ascii="宋体" w:hAnsi="宋体" w:cs="宋体"/>
                <w:szCs w:val="21"/>
              </w:rPr>
              <w:t>级：</w:t>
            </w:r>
            <w:r>
              <w:rPr>
                <w:rFonts w:ascii="宋体" w:hAnsi="宋体" w:cs="宋体"/>
                <w:szCs w:val="21"/>
              </w:rPr>
              <w:tab/>
            </w:r>
            <w:r>
              <w:rPr>
                <w:rFonts w:ascii="宋体" w:hAnsi="宋体" w:cs="宋体"/>
                <w:szCs w:val="21"/>
              </w:rPr>
              <w:t>证</w:t>
            </w:r>
            <w:r>
              <w:rPr>
                <w:rFonts w:ascii="宋体" w:hAnsi="宋体" w:cs="宋体"/>
                <w:spacing w:val="-2"/>
                <w:szCs w:val="21"/>
              </w:rPr>
              <w:t>书</w:t>
            </w:r>
            <w:r>
              <w:rPr>
                <w:rFonts w:ascii="宋体" w:hAnsi="宋体" w:cs="宋体"/>
                <w:szCs w:val="21"/>
              </w:rPr>
              <w:t>号：</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1" w:hRule="exact"/>
          <w:jc w:val="center"/>
        </w:trPr>
        <w:tc>
          <w:tcPr>
            <w:tcW w:w="2618" w:type="dxa"/>
            <w:vAlign w:val="center"/>
          </w:tcPr>
          <w:p>
            <w:pPr>
              <w:spacing w:before="71"/>
              <w:ind w:left="241" w:right="-20"/>
              <w:jc w:val="center"/>
              <w:rPr>
                <w:rFonts w:ascii="宋体" w:hAnsi="宋体" w:cs="宋体"/>
                <w:szCs w:val="21"/>
              </w:rPr>
            </w:pPr>
            <w:r>
              <w:rPr>
                <w:rFonts w:ascii="宋体" w:hAnsi="宋体" w:cs="宋体"/>
                <w:szCs w:val="21"/>
              </w:rPr>
              <w:t>基本</w:t>
            </w:r>
            <w:r>
              <w:rPr>
                <w:rFonts w:ascii="宋体" w:hAnsi="宋体" w:cs="宋体"/>
                <w:spacing w:val="-2"/>
                <w:szCs w:val="21"/>
              </w:rPr>
              <w:t>账</w:t>
            </w:r>
            <w:r>
              <w:rPr>
                <w:rFonts w:ascii="宋体" w:hAnsi="宋体" w:cs="宋体"/>
                <w:szCs w:val="21"/>
              </w:rPr>
              <w:t>户</w:t>
            </w:r>
            <w:r>
              <w:rPr>
                <w:rFonts w:ascii="宋体" w:hAnsi="宋体" w:cs="宋体"/>
                <w:spacing w:val="-2"/>
                <w:szCs w:val="21"/>
              </w:rPr>
              <w:t>开</w:t>
            </w:r>
            <w:r>
              <w:rPr>
                <w:rFonts w:ascii="宋体" w:hAnsi="宋体" w:cs="宋体"/>
                <w:szCs w:val="21"/>
              </w:rPr>
              <w:t>户</w:t>
            </w:r>
            <w:r>
              <w:rPr>
                <w:rFonts w:ascii="宋体" w:hAnsi="宋体" w:cs="宋体"/>
                <w:spacing w:val="-2"/>
                <w:szCs w:val="21"/>
              </w:rPr>
              <w:t>银</w:t>
            </w:r>
            <w:r>
              <w:rPr>
                <w:rFonts w:ascii="宋体" w:hAnsi="宋体" w:cs="宋体"/>
                <w:szCs w:val="21"/>
              </w:rPr>
              <w:t>行</w:t>
            </w:r>
          </w:p>
        </w:tc>
        <w:tc>
          <w:tcPr>
            <w:tcW w:w="6758" w:type="dxa"/>
            <w:gridSpan w:val="4"/>
          </w:tcPr>
          <w:p>
            <w:pPr>
              <w:rPr>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49" w:hRule="exact"/>
          <w:jc w:val="center"/>
        </w:trPr>
        <w:tc>
          <w:tcPr>
            <w:tcW w:w="2618" w:type="dxa"/>
            <w:vAlign w:val="center"/>
          </w:tcPr>
          <w:p>
            <w:pPr>
              <w:spacing w:before="71"/>
              <w:ind w:left="241" w:right="-20"/>
              <w:jc w:val="center"/>
              <w:rPr>
                <w:rFonts w:ascii="宋体" w:hAnsi="宋体" w:cs="宋体"/>
                <w:szCs w:val="21"/>
              </w:rPr>
            </w:pPr>
            <w:r>
              <w:rPr>
                <w:rFonts w:ascii="宋体" w:hAnsi="宋体" w:cs="宋体"/>
                <w:szCs w:val="21"/>
              </w:rPr>
              <w:t>基本</w:t>
            </w:r>
            <w:r>
              <w:rPr>
                <w:rFonts w:ascii="宋体" w:hAnsi="宋体" w:cs="宋体"/>
                <w:spacing w:val="-2"/>
                <w:szCs w:val="21"/>
              </w:rPr>
              <w:t>账</w:t>
            </w:r>
            <w:r>
              <w:rPr>
                <w:rFonts w:ascii="宋体" w:hAnsi="宋体" w:cs="宋体"/>
                <w:szCs w:val="21"/>
              </w:rPr>
              <w:t>户</w:t>
            </w:r>
            <w:r>
              <w:rPr>
                <w:rFonts w:ascii="宋体" w:hAnsi="宋体" w:cs="宋体"/>
                <w:spacing w:val="-2"/>
                <w:szCs w:val="21"/>
              </w:rPr>
              <w:t>银</w:t>
            </w:r>
            <w:r>
              <w:rPr>
                <w:rFonts w:ascii="宋体" w:hAnsi="宋体" w:cs="宋体"/>
                <w:szCs w:val="21"/>
              </w:rPr>
              <w:t>行</w:t>
            </w:r>
            <w:r>
              <w:rPr>
                <w:rFonts w:ascii="宋体" w:hAnsi="宋体" w:cs="宋体"/>
                <w:spacing w:val="-2"/>
                <w:szCs w:val="21"/>
              </w:rPr>
              <w:t>账</w:t>
            </w:r>
            <w:r>
              <w:rPr>
                <w:rFonts w:ascii="宋体" w:hAnsi="宋体" w:cs="宋体"/>
                <w:szCs w:val="21"/>
              </w:rPr>
              <w:t>号</w:t>
            </w:r>
          </w:p>
        </w:tc>
        <w:tc>
          <w:tcPr>
            <w:tcW w:w="6758" w:type="dxa"/>
            <w:gridSpan w:val="4"/>
          </w:tcPr>
          <w:p>
            <w:pPr>
              <w:rPr>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1" w:hRule="exact"/>
          <w:jc w:val="center"/>
        </w:trPr>
        <w:tc>
          <w:tcPr>
            <w:tcW w:w="2618" w:type="dxa"/>
            <w:vAlign w:val="center"/>
          </w:tcPr>
          <w:p>
            <w:pPr>
              <w:spacing w:before="71"/>
              <w:ind w:left="450" w:right="-20"/>
              <w:jc w:val="center"/>
              <w:rPr>
                <w:rFonts w:ascii="宋体" w:hAnsi="宋体" w:cs="宋体"/>
                <w:szCs w:val="21"/>
              </w:rPr>
            </w:pPr>
            <w:r>
              <w:rPr>
                <w:rFonts w:ascii="宋体" w:hAnsi="宋体" w:cs="宋体"/>
                <w:szCs w:val="21"/>
              </w:rPr>
              <w:t>近三</w:t>
            </w:r>
            <w:r>
              <w:rPr>
                <w:rFonts w:ascii="宋体" w:hAnsi="宋体" w:cs="宋体"/>
                <w:spacing w:val="-2"/>
                <w:szCs w:val="21"/>
              </w:rPr>
              <w:t>年</w:t>
            </w:r>
            <w:r>
              <w:rPr>
                <w:rFonts w:ascii="宋体" w:hAnsi="宋体" w:cs="宋体"/>
                <w:szCs w:val="21"/>
              </w:rPr>
              <w:t>营</w:t>
            </w:r>
            <w:r>
              <w:rPr>
                <w:rFonts w:ascii="宋体" w:hAnsi="宋体" w:cs="宋体"/>
                <w:spacing w:val="-2"/>
                <w:szCs w:val="21"/>
              </w:rPr>
              <w:t>业</w:t>
            </w:r>
            <w:r>
              <w:rPr>
                <w:rFonts w:ascii="宋体" w:hAnsi="宋体" w:cs="宋体"/>
                <w:szCs w:val="21"/>
              </w:rPr>
              <w:t>额</w:t>
            </w:r>
          </w:p>
        </w:tc>
        <w:tc>
          <w:tcPr>
            <w:tcW w:w="6758" w:type="dxa"/>
            <w:gridSpan w:val="4"/>
          </w:tcPr>
          <w:p>
            <w:pPr>
              <w:rPr>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995" w:hRule="exact"/>
          <w:jc w:val="center"/>
        </w:trPr>
        <w:tc>
          <w:tcPr>
            <w:tcW w:w="2618" w:type="dxa"/>
            <w:vAlign w:val="center"/>
          </w:tcPr>
          <w:p>
            <w:pPr>
              <w:spacing w:line="341" w:lineRule="auto"/>
              <w:ind w:left="136" w:right="67" w:hanging="53"/>
              <w:jc w:val="center"/>
              <w:rPr>
                <w:rFonts w:ascii="宋体" w:hAnsi="宋体" w:cs="宋体"/>
                <w:spacing w:val="-2"/>
                <w:szCs w:val="21"/>
              </w:rPr>
            </w:pPr>
            <w:r>
              <w:rPr>
                <w:rFonts w:ascii="宋体" w:hAnsi="宋体" w:cs="宋体"/>
                <w:spacing w:val="-2"/>
                <w:szCs w:val="21"/>
              </w:rPr>
              <w:t>投标人关联企业情况</w:t>
            </w:r>
          </w:p>
          <w:p>
            <w:pPr>
              <w:spacing w:line="341" w:lineRule="auto"/>
              <w:ind w:left="136" w:right="67" w:hanging="53"/>
              <w:jc w:val="center"/>
              <w:rPr>
                <w:rFonts w:ascii="宋体" w:hAnsi="宋体" w:cs="宋体"/>
                <w:szCs w:val="21"/>
              </w:rPr>
            </w:pPr>
            <w:r>
              <w:rPr>
                <w:rFonts w:ascii="宋体" w:hAnsi="宋体" w:cs="宋体"/>
                <w:spacing w:val="-2"/>
                <w:szCs w:val="21"/>
              </w:rPr>
              <w:t>（包括但不限于与投标人法定代表人（单位负责人）为同一人 或者存在控股、管理关系的不同单位）</w:t>
            </w:r>
          </w:p>
        </w:tc>
        <w:tc>
          <w:tcPr>
            <w:tcW w:w="6758" w:type="dxa"/>
            <w:gridSpan w:val="4"/>
          </w:tcPr>
          <w:p>
            <w:pPr>
              <w:rPr>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49" w:hRule="exact"/>
          <w:jc w:val="center"/>
        </w:trPr>
        <w:tc>
          <w:tcPr>
            <w:tcW w:w="2618" w:type="dxa"/>
            <w:vAlign w:val="center"/>
          </w:tcPr>
          <w:p>
            <w:pPr>
              <w:spacing w:before="71"/>
              <w:ind w:left="136" w:right="-20"/>
              <w:jc w:val="center"/>
              <w:rPr>
                <w:rFonts w:ascii="宋体" w:hAnsi="宋体" w:cs="宋体"/>
                <w:szCs w:val="21"/>
              </w:rPr>
            </w:pPr>
            <w:r>
              <w:rPr>
                <w:rFonts w:ascii="宋体" w:hAnsi="宋体" w:cs="宋体"/>
                <w:szCs w:val="21"/>
              </w:rPr>
              <w:t>投标</w:t>
            </w:r>
            <w:r>
              <w:rPr>
                <w:rFonts w:hint="eastAsia" w:ascii="宋体" w:hAnsi="宋体" w:cs="宋体"/>
                <w:spacing w:val="-2"/>
                <w:szCs w:val="21"/>
              </w:rPr>
              <w:t>设备</w:t>
            </w:r>
            <w:r>
              <w:rPr>
                <w:rFonts w:ascii="宋体" w:hAnsi="宋体" w:cs="宋体"/>
                <w:spacing w:val="-2"/>
                <w:szCs w:val="21"/>
              </w:rPr>
              <w:t>制</w:t>
            </w:r>
            <w:r>
              <w:rPr>
                <w:rFonts w:ascii="宋体" w:hAnsi="宋体" w:cs="宋体"/>
                <w:szCs w:val="21"/>
              </w:rPr>
              <w:t>造</w:t>
            </w:r>
            <w:r>
              <w:rPr>
                <w:rFonts w:ascii="宋体" w:hAnsi="宋体" w:cs="宋体"/>
                <w:spacing w:val="-2"/>
                <w:szCs w:val="21"/>
              </w:rPr>
              <w:t>商</w:t>
            </w:r>
            <w:r>
              <w:rPr>
                <w:rFonts w:ascii="宋体" w:hAnsi="宋体" w:cs="宋体"/>
                <w:szCs w:val="21"/>
              </w:rPr>
              <w:t>名称</w:t>
            </w:r>
          </w:p>
        </w:tc>
        <w:tc>
          <w:tcPr>
            <w:tcW w:w="6758" w:type="dxa"/>
            <w:gridSpan w:val="4"/>
          </w:tcPr>
          <w:p>
            <w:pPr>
              <w:rPr>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332" w:hRule="exact"/>
          <w:jc w:val="center"/>
        </w:trPr>
        <w:tc>
          <w:tcPr>
            <w:tcW w:w="2618" w:type="dxa"/>
            <w:vAlign w:val="center"/>
          </w:tcPr>
          <w:p>
            <w:pPr>
              <w:spacing w:before="74" w:line="340" w:lineRule="auto"/>
              <w:ind w:left="113" w:right="90" w:hanging="2"/>
              <w:jc w:val="center"/>
              <w:rPr>
                <w:rFonts w:ascii="宋体" w:hAnsi="宋体" w:cs="宋体"/>
                <w:szCs w:val="21"/>
              </w:rPr>
            </w:pPr>
            <w:r>
              <w:rPr>
                <w:rFonts w:ascii="宋体" w:hAnsi="宋体" w:cs="宋体"/>
                <w:szCs w:val="21"/>
              </w:rPr>
              <w:t>投标</w:t>
            </w:r>
            <w:r>
              <w:rPr>
                <w:rFonts w:ascii="宋体" w:hAnsi="宋体" w:cs="宋体"/>
                <w:spacing w:val="-2"/>
                <w:szCs w:val="21"/>
              </w:rPr>
              <w:t>人</w:t>
            </w:r>
            <w:r>
              <w:rPr>
                <w:rFonts w:ascii="宋体" w:hAnsi="宋体" w:cs="宋体"/>
                <w:szCs w:val="21"/>
              </w:rPr>
              <w:t>须</w:t>
            </w:r>
            <w:r>
              <w:rPr>
                <w:rFonts w:ascii="宋体" w:hAnsi="宋体" w:cs="宋体"/>
                <w:spacing w:val="-2"/>
                <w:szCs w:val="21"/>
              </w:rPr>
              <w:t>知</w:t>
            </w:r>
            <w:r>
              <w:rPr>
                <w:rFonts w:ascii="宋体" w:hAnsi="宋体" w:cs="宋体"/>
                <w:szCs w:val="21"/>
              </w:rPr>
              <w:t>要求投标</w:t>
            </w:r>
            <w:r>
              <w:rPr>
                <w:rFonts w:hint="eastAsia" w:ascii="宋体" w:hAnsi="宋体" w:cs="宋体"/>
                <w:spacing w:val="-2"/>
                <w:szCs w:val="21"/>
              </w:rPr>
              <w:t>设备</w:t>
            </w:r>
            <w:r>
              <w:rPr>
                <w:rFonts w:ascii="宋体" w:hAnsi="宋体" w:cs="宋体"/>
                <w:spacing w:val="-2"/>
                <w:szCs w:val="21"/>
              </w:rPr>
              <w:t>制</w:t>
            </w:r>
            <w:r>
              <w:rPr>
                <w:rFonts w:ascii="宋体" w:hAnsi="宋体" w:cs="宋体"/>
                <w:szCs w:val="21"/>
              </w:rPr>
              <w:t>造</w:t>
            </w:r>
            <w:r>
              <w:rPr>
                <w:rFonts w:ascii="宋体" w:hAnsi="宋体" w:cs="宋体"/>
                <w:spacing w:val="-2"/>
                <w:szCs w:val="21"/>
              </w:rPr>
              <w:t>商</w:t>
            </w:r>
            <w:r>
              <w:rPr>
                <w:rFonts w:ascii="宋体" w:hAnsi="宋体" w:cs="宋体"/>
                <w:szCs w:val="21"/>
              </w:rPr>
              <w:t>需具有的</w:t>
            </w:r>
            <w:r>
              <w:rPr>
                <w:rFonts w:ascii="宋体" w:hAnsi="宋体" w:cs="宋体"/>
                <w:spacing w:val="-2"/>
                <w:szCs w:val="21"/>
              </w:rPr>
              <w:t>资</w:t>
            </w:r>
            <w:r>
              <w:rPr>
                <w:rFonts w:ascii="宋体" w:hAnsi="宋体" w:cs="宋体"/>
                <w:szCs w:val="21"/>
              </w:rPr>
              <w:t>质</w:t>
            </w:r>
            <w:r>
              <w:rPr>
                <w:rFonts w:ascii="宋体" w:hAnsi="宋体" w:cs="宋体"/>
                <w:spacing w:val="-2"/>
                <w:szCs w:val="21"/>
              </w:rPr>
              <w:t>证</w:t>
            </w:r>
            <w:r>
              <w:rPr>
                <w:rFonts w:ascii="宋体" w:hAnsi="宋体" w:cs="宋体"/>
                <w:szCs w:val="21"/>
              </w:rPr>
              <w:t>书</w:t>
            </w:r>
          </w:p>
        </w:tc>
        <w:tc>
          <w:tcPr>
            <w:tcW w:w="6758" w:type="dxa"/>
            <w:gridSpan w:val="4"/>
          </w:tcPr>
          <w:p>
            <w:pPr>
              <w:rPr>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49" w:hRule="exact"/>
          <w:jc w:val="center"/>
        </w:trPr>
        <w:tc>
          <w:tcPr>
            <w:tcW w:w="2618" w:type="dxa"/>
          </w:tcPr>
          <w:p>
            <w:pPr>
              <w:spacing w:before="71"/>
              <w:ind w:left="834" w:right="814"/>
              <w:jc w:val="center"/>
              <w:rPr>
                <w:rFonts w:ascii="宋体" w:hAnsi="宋体" w:cs="宋体"/>
                <w:szCs w:val="21"/>
              </w:rPr>
            </w:pPr>
            <w:r>
              <w:rPr>
                <w:rFonts w:ascii="宋体" w:hAnsi="宋体" w:cs="宋体"/>
                <w:szCs w:val="21"/>
              </w:rPr>
              <w:t>备注</w:t>
            </w:r>
          </w:p>
        </w:tc>
        <w:tc>
          <w:tcPr>
            <w:tcW w:w="6758" w:type="dxa"/>
            <w:gridSpan w:val="4"/>
          </w:tcPr>
          <w:p>
            <w:pPr>
              <w:rPr>
                <w:szCs w:val="21"/>
              </w:rPr>
            </w:pPr>
          </w:p>
        </w:tc>
      </w:tr>
    </w:tbl>
    <w:p>
      <w:pPr>
        <w:spacing w:line="333" w:lineRule="auto"/>
        <w:ind w:left="100" w:right="144" w:firstLine="420"/>
        <w:jc w:val="left"/>
        <w:rPr>
          <w:rFonts w:ascii="宋体" w:hAnsi="宋体" w:cs="宋体"/>
          <w:szCs w:val="21"/>
        </w:rPr>
      </w:pPr>
      <w:r>
        <w:rPr>
          <w:rFonts w:ascii="宋体" w:hAnsi="宋体" w:cs="宋体"/>
          <w:szCs w:val="21"/>
        </w:rPr>
        <w:t>注</w:t>
      </w:r>
      <w:r>
        <w:rPr>
          <w:rFonts w:hint="eastAsia" w:ascii="宋体" w:hAnsi="宋体" w:cs="宋体"/>
          <w:szCs w:val="21"/>
        </w:rPr>
        <w:t>：</w:t>
      </w:r>
      <w:r>
        <w:rPr>
          <w:rFonts w:ascii="宋体" w:hAnsi="宋体" w:cs="宋体"/>
          <w:szCs w:val="21"/>
        </w:rPr>
        <w:t>1</w:t>
      </w:r>
      <w:r>
        <w:rPr>
          <w:rFonts w:hint="eastAsia" w:ascii="宋体" w:hAnsi="宋体" w:cs="宋体"/>
          <w:szCs w:val="21"/>
        </w:rPr>
        <w:t>.</w:t>
      </w:r>
      <w:r>
        <w:rPr>
          <w:rFonts w:ascii="宋体" w:hAnsi="宋体" w:cs="宋体"/>
          <w:szCs w:val="21"/>
        </w:rPr>
        <w:t>投标人应根据投标人须知第3.5.1项的要求在本表后附相关证明材料。</w:t>
      </w:r>
    </w:p>
    <w:p>
      <w:pPr>
        <w:spacing w:line="333" w:lineRule="auto"/>
        <w:ind w:left="100" w:right="144" w:firstLine="420"/>
        <w:jc w:val="left"/>
        <w:rPr>
          <w:rFonts w:ascii="宋体" w:hAnsi="宋体" w:cs="宋体"/>
          <w:szCs w:val="21"/>
        </w:rPr>
      </w:pPr>
      <w:r>
        <w:rPr>
          <w:rFonts w:ascii="宋体" w:hAnsi="宋体" w:cs="宋体"/>
          <w:szCs w:val="21"/>
        </w:rPr>
        <w:t>2</w:t>
      </w:r>
      <w:r>
        <w:rPr>
          <w:rFonts w:hint="eastAsia" w:ascii="宋体" w:hAnsi="宋体" w:cs="宋体"/>
          <w:szCs w:val="21"/>
        </w:rPr>
        <w:t>.</w:t>
      </w:r>
      <w:r>
        <w:rPr>
          <w:rFonts w:ascii="宋体" w:hAnsi="宋体" w:cs="宋体"/>
          <w:szCs w:val="21"/>
        </w:rPr>
        <w:t>如果投标人须知第 1 4.1项对投标</w:t>
      </w:r>
      <w:r>
        <w:rPr>
          <w:rFonts w:hint="eastAsia" w:ascii="宋体" w:hAnsi="宋体" w:cs="宋体"/>
          <w:szCs w:val="21"/>
        </w:rPr>
        <w:t>设备</w:t>
      </w:r>
      <w:r>
        <w:rPr>
          <w:rFonts w:ascii="宋体" w:hAnsi="宋体" w:cs="宋体"/>
          <w:szCs w:val="21"/>
        </w:rPr>
        <w:t>制造商的资质提出了要求，投标人应根据投标人须知第 3.5.1项的要求在本表后附相关资质证书复印件。</w:t>
      </w:r>
    </w:p>
    <w:p>
      <w:pPr>
        <w:jc w:val="left"/>
      </w:pPr>
    </w:p>
    <w:p>
      <w:pPr>
        <w:jc w:val="left"/>
      </w:pPr>
    </w:p>
    <w:p>
      <w:pPr>
        <w:jc w:val="left"/>
        <w:sectPr>
          <w:type w:val="continuous"/>
          <w:pgSz w:w="11906" w:h="16838"/>
          <w:pgMar w:top="1417" w:right="1134" w:bottom="1417" w:left="1134" w:header="0" w:footer="721" w:gutter="0"/>
          <w:cols w:space="720" w:num="1"/>
        </w:sectPr>
      </w:pPr>
    </w:p>
    <w:p>
      <w:pPr>
        <w:pStyle w:val="5"/>
        <w:keepNext/>
        <w:keepLines/>
        <w:pageBreakBefore w:val="0"/>
        <w:widowControl/>
        <w:kinsoku/>
        <w:wordWrap/>
        <w:overflowPunct/>
        <w:topLinePunct w:val="0"/>
        <w:autoSpaceDE/>
        <w:autoSpaceDN/>
        <w:bidi w:val="0"/>
        <w:adjustRightInd/>
        <w:snapToGrid/>
        <w:spacing w:line="120" w:lineRule="auto"/>
        <w:jc w:val="center"/>
        <w:textAlignment w:val="auto"/>
      </w:pPr>
      <w:r>
        <w:t>（二）近年财务状况表</w:t>
      </w:r>
    </w:p>
    <w:p>
      <w:pPr>
        <w:spacing w:line="200" w:lineRule="exact"/>
        <w:jc w:val="left"/>
        <w:rPr>
          <w:sz w:val="20"/>
        </w:rPr>
      </w:pPr>
    </w:p>
    <w:p>
      <w:pPr>
        <w:spacing w:line="200" w:lineRule="exact"/>
        <w:jc w:val="left"/>
        <w:rPr>
          <w:sz w:val="20"/>
        </w:rPr>
      </w:pPr>
    </w:p>
    <w:p>
      <w:pPr>
        <w:spacing w:before="13" w:line="220" w:lineRule="exact"/>
        <w:jc w:val="left"/>
        <w:rPr>
          <w:sz w:val="22"/>
          <w:szCs w:val="22"/>
        </w:rPr>
      </w:pPr>
    </w:p>
    <w:p>
      <w:pPr>
        <w:numPr>
          <w:ilvl w:val="0"/>
          <w:numId w:val="14"/>
        </w:numPr>
        <w:spacing w:line="480" w:lineRule="auto"/>
        <w:ind w:firstLine="412" w:firstLineChars="200"/>
        <w:jc w:val="left"/>
        <w:rPr>
          <w:rFonts w:ascii="宋体" w:hAnsi="宋体" w:cs="宋体"/>
          <w:szCs w:val="21"/>
        </w:rPr>
      </w:pPr>
      <w:r>
        <w:rPr>
          <w:rFonts w:ascii="宋体" w:hAnsi="宋体" w:cs="宋体"/>
          <w:spacing w:val="-2"/>
          <w:szCs w:val="21"/>
        </w:rPr>
        <w:t>投</w:t>
      </w:r>
      <w:r>
        <w:rPr>
          <w:rFonts w:ascii="宋体" w:hAnsi="宋体" w:cs="宋体"/>
          <w:szCs w:val="21"/>
        </w:rPr>
        <w:t>标</w:t>
      </w:r>
      <w:r>
        <w:rPr>
          <w:rFonts w:ascii="宋体" w:hAnsi="宋体" w:cs="宋体"/>
          <w:spacing w:val="-2"/>
          <w:szCs w:val="21"/>
        </w:rPr>
        <w:t>人</w:t>
      </w:r>
      <w:r>
        <w:rPr>
          <w:rFonts w:ascii="宋体" w:hAnsi="宋体" w:cs="宋体"/>
          <w:szCs w:val="21"/>
        </w:rPr>
        <w:t>应</w:t>
      </w:r>
      <w:r>
        <w:rPr>
          <w:rFonts w:ascii="宋体" w:hAnsi="宋体" w:cs="宋体"/>
          <w:spacing w:val="-2"/>
          <w:szCs w:val="21"/>
        </w:rPr>
        <w:t>根</w:t>
      </w:r>
      <w:r>
        <w:rPr>
          <w:rFonts w:ascii="宋体" w:hAnsi="宋体" w:cs="宋体"/>
          <w:szCs w:val="21"/>
        </w:rPr>
        <w:t>据</w:t>
      </w:r>
      <w:r>
        <w:rPr>
          <w:rFonts w:ascii="宋体" w:hAnsi="宋体" w:cs="宋体"/>
          <w:spacing w:val="-2"/>
          <w:szCs w:val="21"/>
        </w:rPr>
        <w:t>投</w:t>
      </w:r>
      <w:r>
        <w:rPr>
          <w:rFonts w:ascii="宋体" w:hAnsi="宋体" w:cs="宋体"/>
          <w:szCs w:val="21"/>
        </w:rPr>
        <w:t>标</w:t>
      </w:r>
      <w:r>
        <w:rPr>
          <w:rFonts w:ascii="宋体" w:hAnsi="宋体" w:cs="宋体"/>
          <w:spacing w:val="-2"/>
          <w:szCs w:val="21"/>
        </w:rPr>
        <w:t>人须</w:t>
      </w:r>
      <w:r>
        <w:rPr>
          <w:rFonts w:ascii="宋体" w:hAnsi="宋体" w:cs="宋体"/>
          <w:szCs w:val="21"/>
        </w:rPr>
        <w:t>知第</w:t>
      </w:r>
      <w:r>
        <w:rPr>
          <w:rFonts w:ascii="宋体" w:hAnsi="宋体"/>
          <w:szCs w:val="21"/>
        </w:rPr>
        <w:t>3</w:t>
      </w:r>
      <w:r>
        <w:rPr>
          <w:rFonts w:ascii="宋体" w:hAnsi="宋体"/>
          <w:spacing w:val="-2"/>
          <w:szCs w:val="21"/>
        </w:rPr>
        <w:t>.</w:t>
      </w:r>
      <w:r>
        <w:rPr>
          <w:rFonts w:ascii="宋体" w:hAnsi="宋体"/>
          <w:szCs w:val="21"/>
        </w:rPr>
        <w:t>5.2</w:t>
      </w:r>
      <w:r>
        <w:rPr>
          <w:rFonts w:ascii="宋体" w:hAnsi="宋体" w:cs="宋体"/>
          <w:szCs w:val="21"/>
        </w:rPr>
        <w:t>项</w:t>
      </w:r>
      <w:r>
        <w:rPr>
          <w:rFonts w:ascii="宋体" w:hAnsi="宋体" w:cs="宋体"/>
          <w:spacing w:val="-2"/>
          <w:szCs w:val="21"/>
        </w:rPr>
        <w:t>的</w:t>
      </w:r>
      <w:r>
        <w:rPr>
          <w:rFonts w:ascii="宋体" w:hAnsi="宋体" w:cs="宋体"/>
          <w:szCs w:val="21"/>
        </w:rPr>
        <w:t>要</w:t>
      </w:r>
      <w:r>
        <w:rPr>
          <w:rFonts w:ascii="宋体" w:hAnsi="宋体" w:cs="宋体"/>
          <w:spacing w:val="-2"/>
          <w:szCs w:val="21"/>
        </w:rPr>
        <w:t>求</w:t>
      </w:r>
      <w:r>
        <w:rPr>
          <w:rFonts w:ascii="宋体" w:hAnsi="宋体" w:cs="宋体"/>
          <w:szCs w:val="21"/>
        </w:rPr>
        <w:t>在</w:t>
      </w:r>
      <w:r>
        <w:rPr>
          <w:rFonts w:ascii="宋体" w:hAnsi="宋体" w:cs="宋体"/>
          <w:spacing w:val="-2"/>
          <w:szCs w:val="21"/>
        </w:rPr>
        <w:t>本表</w:t>
      </w:r>
      <w:r>
        <w:rPr>
          <w:rFonts w:ascii="宋体" w:hAnsi="宋体" w:cs="宋体"/>
          <w:szCs w:val="21"/>
        </w:rPr>
        <w:t>后附</w:t>
      </w:r>
      <w:r>
        <w:rPr>
          <w:rFonts w:ascii="宋体" w:hAnsi="宋体" w:cs="宋体"/>
          <w:spacing w:val="-2"/>
          <w:szCs w:val="21"/>
        </w:rPr>
        <w:t>相</w:t>
      </w:r>
      <w:r>
        <w:rPr>
          <w:rFonts w:ascii="宋体" w:hAnsi="宋体" w:cs="宋体"/>
          <w:szCs w:val="21"/>
        </w:rPr>
        <w:t>关</w:t>
      </w:r>
      <w:r>
        <w:rPr>
          <w:rFonts w:ascii="宋体" w:hAnsi="宋体" w:cs="宋体"/>
          <w:spacing w:val="-2"/>
          <w:szCs w:val="21"/>
        </w:rPr>
        <w:t>证</w:t>
      </w:r>
      <w:r>
        <w:rPr>
          <w:rFonts w:ascii="宋体" w:hAnsi="宋体" w:cs="宋体"/>
          <w:szCs w:val="21"/>
        </w:rPr>
        <w:t>明</w:t>
      </w:r>
      <w:r>
        <w:rPr>
          <w:rFonts w:ascii="宋体" w:hAnsi="宋体" w:cs="宋体"/>
          <w:spacing w:val="-2"/>
          <w:szCs w:val="21"/>
        </w:rPr>
        <w:t>材</w:t>
      </w:r>
      <w:r>
        <w:rPr>
          <w:rFonts w:ascii="宋体" w:hAnsi="宋体" w:cs="宋体"/>
          <w:szCs w:val="21"/>
        </w:rPr>
        <w:t>料。</w:t>
      </w:r>
    </w:p>
    <w:p>
      <w:pPr>
        <w:spacing w:line="200" w:lineRule="exact"/>
        <w:jc w:val="left"/>
        <w:rPr>
          <w:sz w:val="24"/>
        </w:rPr>
      </w:pPr>
    </w:p>
    <w:p>
      <w:pPr>
        <w:spacing w:line="200" w:lineRule="exact"/>
        <w:jc w:val="left"/>
        <w:rPr>
          <w:sz w:val="24"/>
        </w:rPr>
      </w:pPr>
    </w:p>
    <w:p>
      <w:pPr>
        <w:spacing w:line="200" w:lineRule="exact"/>
        <w:jc w:val="left"/>
        <w:rPr>
          <w:sz w:val="24"/>
        </w:rPr>
      </w:pPr>
    </w:p>
    <w:p>
      <w:pPr>
        <w:spacing w:line="200" w:lineRule="exact"/>
        <w:jc w:val="left"/>
        <w:rPr>
          <w:sz w:val="24"/>
        </w:rPr>
      </w:pPr>
    </w:p>
    <w:p>
      <w:pPr>
        <w:spacing w:line="2" w:lineRule="exact"/>
        <w:jc w:val="left"/>
        <w:rPr>
          <w:sz w:val="24"/>
        </w:rPr>
      </w:pPr>
      <w:bookmarkStart w:id="224" w:name="page83"/>
      <w:bookmarkEnd w:id="224"/>
    </w:p>
    <w:p>
      <w:pPr>
        <w:pStyle w:val="5"/>
        <w:bidi w:val="0"/>
        <w:jc w:val="center"/>
        <w:rPr>
          <w:sz w:val="20"/>
        </w:rPr>
      </w:pPr>
      <w:r>
        <w:rPr>
          <w:rFonts w:hint="eastAsia" w:ascii="宋体" w:hAnsi="宋体"/>
        </w:rPr>
        <w:br w:type="page"/>
      </w:r>
      <w:r>
        <w:rPr>
          <w:rStyle w:val="190"/>
          <w:b/>
          <w:bCs/>
          <w:lang w:val="en-US" w:eastAsia="zh-CN"/>
        </w:rPr>
        <w:t>（三）近年完成的类似项目情况表</w:t>
      </w:r>
    </w:p>
    <w:p>
      <w:pPr>
        <w:spacing w:line="200" w:lineRule="exact"/>
        <w:jc w:val="left"/>
        <w:rPr>
          <w:sz w:val="20"/>
        </w:rPr>
      </w:pPr>
    </w:p>
    <w:tbl>
      <w:tblPr>
        <w:tblStyle w:val="68"/>
        <w:tblW w:w="966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2574"/>
        <w:gridCol w:w="7094"/>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9" w:hRule="exact"/>
          <w:jc w:val="center"/>
        </w:trPr>
        <w:tc>
          <w:tcPr>
            <w:tcW w:w="2574" w:type="dxa"/>
          </w:tcPr>
          <w:p>
            <w:pPr>
              <w:spacing w:before="7" w:line="180" w:lineRule="exact"/>
              <w:jc w:val="left"/>
              <w:rPr>
                <w:sz w:val="18"/>
                <w:szCs w:val="18"/>
              </w:rPr>
            </w:pPr>
          </w:p>
          <w:p>
            <w:pPr>
              <w:ind w:left="707" w:right="-20"/>
              <w:jc w:val="left"/>
              <w:rPr>
                <w:rFonts w:ascii="宋体" w:hAnsi="宋体" w:cs="宋体"/>
                <w:szCs w:val="21"/>
              </w:rPr>
            </w:pPr>
            <w:r>
              <w:rPr>
                <w:rFonts w:ascii="宋体" w:hAnsi="宋体" w:cs="宋体"/>
                <w:szCs w:val="21"/>
              </w:rPr>
              <w:t>设备</w:t>
            </w:r>
            <w:r>
              <w:rPr>
                <w:rFonts w:ascii="宋体" w:hAnsi="宋体" w:cs="宋体"/>
                <w:spacing w:val="-2"/>
                <w:szCs w:val="21"/>
              </w:rPr>
              <w:t>名</w:t>
            </w:r>
            <w:r>
              <w:rPr>
                <w:rFonts w:ascii="宋体" w:hAnsi="宋体" w:cs="宋体"/>
                <w:szCs w:val="21"/>
              </w:rPr>
              <w:t>称</w:t>
            </w:r>
          </w:p>
        </w:tc>
        <w:tc>
          <w:tcPr>
            <w:tcW w:w="7094" w:type="dxa"/>
          </w:tc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17" w:hRule="exact"/>
          <w:jc w:val="center"/>
        </w:trPr>
        <w:tc>
          <w:tcPr>
            <w:tcW w:w="2574" w:type="dxa"/>
          </w:tcPr>
          <w:p>
            <w:pPr>
              <w:spacing w:before="6" w:line="150" w:lineRule="exact"/>
              <w:jc w:val="left"/>
              <w:rPr>
                <w:sz w:val="15"/>
                <w:szCs w:val="15"/>
              </w:rPr>
            </w:pPr>
          </w:p>
          <w:p>
            <w:pPr>
              <w:ind w:left="601" w:right="-20"/>
              <w:jc w:val="left"/>
              <w:rPr>
                <w:rFonts w:ascii="宋体" w:hAnsi="宋体" w:cs="宋体"/>
                <w:szCs w:val="21"/>
              </w:rPr>
            </w:pPr>
            <w:r>
              <w:rPr>
                <w:rFonts w:ascii="宋体" w:hAnsi="宋体" w:cs="宋体"/>
                <w:szCs w:val="21"/>
              </w:rPr>
              <w:t>规格</w:t>
            </w:r>
            <w:r>
              <w:rPr>
                <w:rFonts w:ascii="宋体" w:hAnsi="宋体" w:cs="宋体"/>
                <w:spacing w:val="-2"/>
                <w:szCs w:val="21"/>
              </w:rPr>
              <w:t>和</w:t>
            </w:r>
            <w:r>
              <w:rPr>
                <w:rFonts w:ascii="宋体" w:hAnsi="宋体" w:cs="宋体"/>
                <w:szCs w:val="21"/>
              </w:rPr>
              <w:t>型号</w:t>
            </w:r>
          </w:p>
        </w:tc>
        <w:tc>
          <w:tcPr>
            <w:tcW w:w="7094" w:type="dxa"/>
          </w:tc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24" w:hRule="exact"/>
          <w:jc w:val="center"/>
        </w:trPr>
        <w:tc>
          <w:tcPr>
            <w:tcW w:w="2574" w:type="dxa"/>
          </w:tcPr>
          <w:p>
            <w:pPr>
              <w:spacing w:before="8" w:line="150" w:lineRule="exact"/>
              <w:jc w:val="left"/>
              <w:rPr>
                <w:sz w:val="15"/>
                <w:szCs w:val="15"/>
              </w:rPr>
            </w:pPr>
          </w:p>
          <w:p>
            <w:pPr>
              <w:ind w:left="707" w:right="-20"/>
              <w:jc w:val="left"/>
              <w:rPr>
                <w:rFonts w:ascii="宋体" w:hAnsi="宋体" w:cs="宋体"/>
                <w:szCs w:val="21"/>
              </w:rPr>
            </w:pPr>
            <w:r>
              <w:rPr>
                <w:rFonts w:ascii="宋体" w:hAnsi="宋体" w:cs="宋体"/>
                <w:szCs w:val="21"/>
              </w:rPr>
              <w:t>项目</w:t>
            </w:r>
            <w:r>
              <w:rPr>
                <w:rFonts w:ascii="宋体" w:hAnsi="宋体" w:cs="宋体"/>
                <w:spacing w:val="-2"/>
                <w:szCs w:val="21"/>
              </w:rPr>
              <w:t>名</w:t>
            </w:r>
            <w:r>
              <w:rPr>
                <w:rFonts w:ascii="宋体" w:hAnsi="宋体" w:cs="宋体"/>
                <w:szCs w:val="21"/>
              </w:rPr>
              <w:t>称</w:t>
            </w:r>
          </w:p>
        </w:tc>
        <w:tc>
          <w:tcPr>
            <w:tcW w:w="7094" w:type="dxa"/>
          </w:tc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20" w:hRule="exact"/>
          <w:jc w:val="center"/>
        </w:trPr>
        <w:tc>
          <w:tcPr>
            <w:tcW w:w="2574" w:type="dxa"/>
          </w:tcPr>
          <w:p>
            <w:pPr>
              <w:spacing w:before="6" w:line="150" w:lineRule="exact"/>
              <w:jc w:val="left"/>
              <w:rPr>
                <w:sz w:val="15"/>
                <w:szCs w:val="15"/>
              </w:rPr>
            </w:pPr>
          </w:p>
          <w:p>
            <w:pPr>
              <w:ind w:left="707" w:right="-20"/>
              <w:jc w:val="left"/>
              <w:rPr>
                <w:rFonts w:ascii="宋体" w:hAnsi="宋体" w:cs="宋体"/>
                <w:szCs w:val="21"/>
              </w:rPr>
            </w:pPr>
            <w:r>
              <w:rPr>
                <w:rFonts w:ascii="宋体" w:hAnsi="宋体" w:cs="宋体"/>
                <w:szCs w:val="21"/>
              </w:rPr>
              <w:t>买方</w:t>
            </w:r>
            <w:r>
              <w:rPr>
                <w:rFonts w:ascii="宋体" w:hAnsi="宋体" w:cs="宋体"/>
                <w:spacing w:val="-2"/>
                <w:szCs w:val="21"/>
              </w:rPr>
              <w:t>名</w:t>
            </w:r>
            <w:r>
              <w:rPr>
                <w:rFonts w:ascii="宋体" w:hAnsi="宋体" w:cs="宋体"/>
                <w:szCs w:val="21"/>
              </w:rPr>
              <w:t>称</w:t>
            </w:r>
          </w:p>
        </w:tc>
        <w:tc>
          <w:tcPr>
            <w:tcW w:w="7094" w:type="dxa"/>
          </w:tc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24" w:hRule="exact"/>
          <w:jc w:val="center"/>
        </w:trPr>
        <w:tc>
          <w:tcPr>
            <w:tcW w:w="2574" w:type="dxa"/>
          </w:tcPr>
          <w:p>
            <w:pPr>
              <w:spacing w:before="8" w:line="150" w:lineRule="exact"/>
              <w:jc w:val="left"/>
              <w:rPr>
                <w:sz w:val="15"/>
                <w:szCs w:val="15"/>
              </w:rPr>
            </w:pPr>
          </w:p>
          <w:p>
            <w:pPr>
              <w:ind w:left="287" w:right="-20"/>
              <w:jc w:val="left"/>
              <w:rPr>
                <w:rFonts w:ascii="宋体" w:hAnsi="宋体" w:cs="宋体"/>
                <w:szCs w:val="21"/>
              </w:rPr>
            </w:pPr>
            <w:r>
              <w:rPr>
                <w:rFonts w:ascii="宋体" w:hAnsi="宋体" w:cs="宋体"/>
                <w:szCs w:val="21"/>
              </w:rPr>
              <w:t>买方</w:t>
            </w:r>
            <w:r>
              <w:rPr>
                <w:rFonts w:ascii="宋体" w:hAnsi="宋体" w:cs="宋体"/>
                <w:spacing w:val="-2"/>
                <w:szCs w:val="21"/>
              </w:rPr>
              <w:t>联</w:t>
            </w:r>
            <w:r>
              <w:rPr>
                <w:rFonts w:ascii="宋体" w:hAnsi="宋体" w:cs="宋体"/>
                <w:szCs w:val="21"/>
              </w:rPr>
              <w:t>系</w:t>
            </w:r>
            <w:r>
              <w:rPr>
                <w:rFonts w:ascii="宋体" w:hAnsi="宋体" w:cs="宋体"/>
                <w:spacing w:val="-2"/>
                <w:szCs w:val="21"/>
              </w:rPr>
              <w:t>人</w:t>
            </w:r>
            <w:r>
              <w:rPr>
                <w:rFonts w:ascii="宋体" w:hAnsi="宋体" w:cs="宋体"/>
                <w:szCs w:val="21"/>
              </w:rPr>
              <w:t>及</w:t>
            </w:r>
            <w:r>
              <w:rPr>
                <w:rFonts w:ascii="宋体" w:hAnsi="宋体" w:cs="宋体"/>
                <w:spacing w:val="-2"/>
                <w:szCs w:val="21"/>
              </w:rPr>
              <w:t>电</w:t>
            </w:r>
            <w:r>
              <w:rPr>
                <w:rFonts w:ascii="宋体" w:hAnsi="宋体" w:cs="宋体"/>
                <w:szCs w:val="21"/>
              </w:rPr>
              <w:t>话</w:t>
            </w:r>
          </w:p>
        </w:tc>
        <w:tc>
          <w:tcPr>
            <w:tcW w:w="7094" w:type="dxa"/>
          </w:tc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22" w:hRule="exact"/>
          <w:jc w:val="center"/>
        </w:trPr>
        <w:tc>
          <w:tcPr>
            <w:tcW w:w="2574" w:type="dxa"/>
          </w:tcPr>
          <w:p>
            <w:pPr>
              <w:spacing w:before="8" w:line="150" w:lineRule="exact"/>
              <w:jc w:val="left"/>
              <w:rPr>
                <w:sz w:val="15"/>
                <w:szCs w:val="15"/>
              </w:rPr>
            </w:pPr>
          </w:p>
          <w:p>
            <w:pPr>
              <w:ind w:left="707" w:right="-20"/>
              <w:jc w:val="left"/>
              <w:rPr>
                <w:rFonts w:ascii="宋体" w:hAnsi="宋体" w:cs="宋体"/>
                <w:szCs w:val="21"/>
              </w:rPr>
            </w:pPr>
            <w:r>
              <w:rPr>
                <w:rFonts w:ascii="宋体" w:hAnsi="宋体" w:cs="宋体"/>
                <w:szCs w:val="21"/>
              </w:rPr>
              <w:t>合同</w:t>
            </w:r>
            <w:r>
              <w:rPr>
                <w:rFonts w:ascii="宋体" w:hAnsi="宋体" w:cs="宋体"/>
                <w:spacing w:val="-2"/>
                <w:szCs w:val="21"/>
              </w:rPr>
              <w:t>价</w:t>
            </w:r>
            <w:r>
              <w:rPr>
                <w:rFonts w:ascii="宋体" w:hAnsi="宋体" w:cs="宋体"/>
                <w:szCs w:val="21"/>
              </w:rPr>
              <w:t>格</w:t>
            </w:r>
          </w:p>
        </w:tc>
        <w:tc>
          <w:tcPr>
            <w:tcW w:w="7094" w:type="dxa"/>
          </w:tc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089" w:hRule="exact"/>
          <w:jc w:val="center"/>
        </w:trPr>
        <w:tc>
          <w:tcPr>
            <w:tcW w:w="2574" w:type="dxa"/>
          </w:tcPr>
          <w:p>
            <w:pPr>
              <w:spacing w:before="1" w:line="170" w:lineRule="exact"/>
              <w:jc w:val="left"/>
              <w:rPr>
                <w:sz w:val="17"/>
                <w:szCs w:val="17"/>
              </w:rPr>
            </w:pPr>
          </w:p>
          <w:p>
            <w:pPr>
              <w:spacing w:line="200" w:lineRule="exact"/>
              <w:jc w:val="left"/>
              <w:rPr>
                <w:sz w:val="20"/>
              </w:rPr>
            </w:pPr>
          </w:p>
          <w:p>
            <w:pPr>
              <w:spacing w:line="200" w:lineRule="exact"/>
              <w:jc w:val="left"/>
              <w:rPr>
                <w:sz w:val="20"/>
              </w:rPr>
            </w:pPr>
          </w:p>
          <w:p>
            <w:pPr>
              <w:spacing w:line="200" w:lineRule="exact"/>
              <w:jc w:val="left"/>
              <w:rPr>
                <w:sz w:val="20"/>
              </w:rPr>
            </w:pPr>
          </w:p>
          <w:p>
            <w:pPr>
              <w:spacing w:line="200" w:lineRule="exact"/>
              <w:jc w:val="left"/>
              <w:rPr>
                <w:sz w:val="20"/>
              </w:rPr>
            </w:pPr>
          </w:p>
          <w:p>
            <w:pPr>
              <w:spacing w:line="200" w:lineRule="exact"/>
              <w:jc w:val="left"/>
              <w:rPr>
                <w:sz w:val="20"/>
              </w:rPr>
            </w:pPr>
          </w:p>
          <w:p>
            <w:pPr>
              <w:spacing w:line="342" w:lineRule="auto"/>
              <w:ind w:left="813" w:right="115" w:hanging="631"/>
              <w:jc w:val="left"/>
              <w:rPr>
                <w:rFonts w:ascii="宋体" w:hAnsi="宋体" w:cs="宋体"/>
                <w:szCs w:val="21"/>
              </w:rPr>
            </w:pPr>
            <w:r>
              <w:rPr>
                <w:rFonts w:ascii="宋体" w:hAnsi="宋体" w:cs="宋体"/>
                <w:szCs w:val="21"/>
              </w:rPr>
              <w:t>项目</w:t>
            </w:r>
            <w:r>
              <w:rPr>
                <w:rFonts w:ascii="宋体" w:hAnsi="宋体" w:cs="宋体"/>
                <w:spacing w:val="-2"/>
                <w:szCs w:val="21"/>
              </w:rPr>
              <w:t>概</w:t>
            </w:r>
            <w:r>
              <w:rPr>
                <w:rFonts w:ascii="宋体" w:hAnsi="宋体" w:cs="宋体"/>
                <w:szCs w:val="21"/>
              </w:rPr>
              <w:t>况</w:t>
            </w:r>
            <w:r>
              <w:rPr>
                <w:rFonts w:ascii="宋体" w:hAnsi="宋体" w:cs="宋体"/>
                <w:spacing w:val="-2"/>
                <w:szCs w:val="21"/>
              </w:rPr>
              <w:t>及</w:t>
            </w:r>
            <w:r>
              <w:rPr>
                <w:rFonts w:ascii="宋体" w:hAnsi="宋体" w:cs="宋体"/>
                <w:szCs w:val="21"/>
              </w:rPr>
              <w:t>投</w:t>
            </w:r>
            <w:r>
              <w:rPr>
                <w:rFonts w:ascii="宋体" w:hAnsi="宋体" w:cs="宋体"/>
                <w:spacing w:val="-2"/>
                <w:szCs w:val="21"/>
              </w:rPr>
              <w:t>标</w:t>
            </w:r>
            <w:r>
              <w:rPr>
                <w:rFonts w:ascii="宋体" w:hAnsi="宋体" w:cs="宋体"/>
                <w:szCs w:val="21"/>
              </w:rPr>
              <w:t>人履约情况</w:t>
            </w:r>
          </w:p>
        </w:tc>
        <w:tc>
          <w:tcPr>
            <w:tcW w:w="7094" w:type="dxa"/>
          </w:tc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38" w:hRule="exact"/>
          <w:jc w:val="center"/>
        </w:trPr>
        <w:tc>
          <w:tcPr>
            <w:tcW w:w="2574" w:type="dxa"/>
          </w:tcPr>
          <w:p>
            <w:pPr>
              <w:spacing w:before="5" w:line="160" w:lineRule="exact"/>
              <w:jc w:val="left"/>
              <w:rPr>
                <w:sz w:val="16"/>
                <w:szCs w:val="16"/>
              </w:rPr>
            </w:pPr>
          </w:p>
          <w:p>
            <w:pPr>
              <w:ind w:left="882" w:right="861"/>
              <w:jc w:val="center"/>
              <w:rPr>
                <w:rFonts w:ascii="宋体" w:hAnsi="宋体" w:cs="宋体"/>
                <w:szCs w:val="21"/>
              </w:rPr>
            </w:pPr>
            <w:r>
              <w:rPr>
                <w:rFonts w:ascii="宋体" w:hAnsi="宋体" w:cs="宋体"/>
                <w:szCs w:val="21"/>
              </w:rPr>
              <w:t>备注</w:t>
            </w:r>
          </w:p>
        </w:tc>
        <w:tc>
          <w:tcPr>
            <w:tcW w:w="7094" w:type="dxa"/>
          </w:tcPr>
          <w:p/>
        </w:tc>
      </w:tr>
    </w:tbl>
    <w:p>
      <w:pPr>
        <w:spacing w:line="110" w:lineRule="exact"/>
        <w:jc w:val="left"/>
        <w:rPr>
          <w:sz w:val="11"/>
          <w:szCs w:val="11"/>
        </w:rPr>
      </w:pPr>
    </w:p>
    <w:p>
      <w:pPr>
        <w:spacing w:line="287" w:lineRule="exact"/>
        <w:ind w:left="100" w:right="-20"/>
        <w:jc w:val="left"/>
        <w:rPr>
          <w:rFonts w:ascii="宋体" w:hAnsi="宋体" w:cs="宋体"/>
          <w:position w:val="-1"/>
          <w:szCs w:val="21"/>
        </w:rPr>
      </w:pPr>
      <w:r>
        <w:rPr>
          <w:rFonts w:ascii="宋体" w:hAnsi="宋体" w:cs="宋体"/>
          <w:position w:val="-1"/>
          <w:szCs w:val="21"/>
        </w:rPr>
        <w:t>注：</w:t>
      </w:r>
      <w:r>
        <w:rPr>
          <w:rFonts w:eastAsia="Times New Roman"/>
          <w:position w:val="-1"/>
          <w:szCs w:val="21"/>
        </w:rPr>
        <w:t>1.</w:t>
      </w:r>
      <w:r>
        <w:rPr>
          <w:rFonts w:ascii="宋体" w:hAnsi="宋体" w:cs="宋体"/>
          <w:spacing w:val="-2"/>
          <w:position w:val="-1"/>
          <w:szCs w:val="21"/>
        </w:rPr>
        <w:t>投</w:t>
      </w:r>
      <w:r>
        <w:rPr>
          <w:rFonts w:ascii="宋体" w:hAnsi="宋体" w:cs="宋体"/>
          <w:position w:val="-1"/>
          <w:szCs w:val="21"/>
        </w:rPr>
        <w:t>标</w:t>
      </w:r>
      <w:r>
        <w:rPr>
          <w:rFonts w:ascii="宋体" w:hAnsi="宋体" w:cs="宋体"/>
          <w:spacing w:val="-2"/>
          <w:position w:val="-1"/>
          <w:szCs w:val="21"/>
        </w:rPr>
        <w:t>人</w:t>
      </w:r>
      <w:r>
        <w:rPr>
          <w:rFonts w:ascii="宋体" w:hAnsi="宋体" w:cs="宋体"/>
          <w:position w:val="-1"/>
          <w:szCs w:val="21"/>
        </w:rPr>
        <w:t>应</w:t>
      </w:r>
      <w:r>
        <w:rPr>
          <w:rFonts w:ascii="宋体" w:hAnsi="宋体" w:cs="宋体"/>
          <w:spacing w:val="-2"/>
          <w:position w:val="-1"/>
          <w:szCs w:val="21"/>
        </w:rPr>
        <w:t>根</w:t>
      </w:r>
      <w:r>
        <w:rPr>
          <w:rFonts w:ascii="宋体" w:hAnsi="宋体" w:cs="宋体"/>
          <w:position w:val="-1"/>
          <w:szCs w:val="21"/>
        </w:rPr>
        <w:t>据</w:t>
      </w:r>
      <w:r>
        <w:rPr>
          <w:rFonts w:ascii="宋体" w:hAnsi="宋体" w:cs="宋体"/>
          <w:spacing w:val="-2"/>
          <w:position w:val="-1"/>
          <w:szCs w:val="21"/>
        </w:rPr>
        <w:t>投标</w:t>
      </w:r>
      <w:r>
        <w:rPr>
          <w:rFonts w:ascii="宋体" w:hAnsi="宋体" w:cs="宋体"/>
          <w:position w:val="-1"/>
          <w:szCs w:val="21"/>
        </w:rPr>
        <w:t>人须</w:t>
      </w:r>
      <w:r>
        <w:rPr>
          <w:rFonts w:ascii="宋体" w:hAnsi="宋体" w:cs="宋体"/>
          <w:spacing w:val="-2"/>
          <w:position w:val="-1"/>
          <w:szCs w:val="21"/>
        </w:rPr>
        <w:t>知</w:t>
      </w:r>
      <w:r>
        <w:rPr>
          <w:rFonts w:ascii="宋体" w:hAnsi="宋体" w:cs="宋体"/>
          <w:position w:val="-1"/>
          <w:szCs w:val="21"/>
        </w:rPr>
        <w:t>第</w:t>
      </w:r>
      <w:r>
        <w:rPr>
          <w:rFonts w:eastAsia="Times New Roman"/>
          <w:position w:val="-1"/>
          <w:szCs w:val="21"/>
        </w:rPr>
        <w:t>3</w:t>
      </w:r>
      <w:r>
        <w:rPr>
          <w:rFonts w:eastAsia="Times New Roman"/>
          <w:spacing w:val="-2"/>
          <w:position w:val="-1"/>
          <w:szCs w:val="21"/>
        </w:rPr>
        <w:t>.</w:t>
      </w:r>
      <w:r>
        <w:rPr>
          <w:rFonts w:eastAsia="Times New Roman"/>
          <w:position w:val="-1"/>
          <w:szCs w:val="21"/>
        </w:rPr>
        <w:t>5.3</w:t>
      </w:r>
      <w:r>
        <w:rPr>
          <w:rFonts w:ascii="宋体" w:hAnsi="宋体" w:cs="宋体"/>
          <w:position w:val="-1"/>
          <w:szCs w:val="21"/>
        </w:rPr>
        <w:t>项</w:t>
      </w:r>
      <w:r>
        <w:rPr>
          <w:rFonts w:ascii="宋体" w:hAnsi="宋体" w:cs="宋体"/>
          <w:spacing w:val="-2"/>
          <w:position w:val="-1"/>
          <w:szCs w:val="21"/>
        </w:rPr>
        <w:t>的</w:t>
      </w:r>
      <w:r>
        <w:rPr>
          <w:rFonts w:ascii="宋体" w:hAnsi="宋体" w:cs="宋体"/>
          <w:position w:val="-1"/>
          <w:szCs w:val="21"/>
        </w:rPr>
        <w:t>要</w:t>
      </w:r>
      <w:r>
        <w:rPr>
          <w:rFonts w:ascii="宋体" w:hAnsi="宋体" w:cs="宋体"/>
          <w:spacing w:val="-2"/>
          <w:position w:val="-1"/>
          <w:szCs w:val="21"/>
        </w:rPr>
        <w:t>求在</w:t>
      </w:r>
      <w:r>
        <w:rPr>
          <w:rFonts w:ascii="宋体" w:hAnsi="宋体" w:cs="宋体"/>
          <w:position w:val="-1"/>
          <w:szCs w:val="21"/>
        </w:rPr>
        <w:t>本表</w:t>
      </w:r>
      <w:r>
        <w:rPr>
          <w:rFonts w:ascii="宋体" w:hAnsi="宋体" w:cs="宋体"/>
          <w:spacing w:val="-2"/>
          <w:position w:val="-1"/>
          <w:szCs w:val="21"/>
        </w:rPr>
        <w:t>后</w:t>
      </w:r>
      <w:r>
        <w:rPr>
          <w:rFonts w:ascii="宋体" w:hAnsi="宋体" w:cs="宋体"/>
          <w:position w:val="-1"/>
          <w:szCs w:val="21"/>
        </w:rPr>
        <w:t>附</w:t>
      </w:r>
      <w:r>
        <w:rPr>
          <w:rFonts w:ascii="宋体" w:hAnsi="宋体" w:cs="宋体"/>
          <w:spacing w:val="-2"/>
          <w:position w:val="-1"/>
          <w:szCs w:val="21"/>
        </w:rPr>
        <w:t>相</w:t>
      </w:r>
      <w:r>
        <w:rPr>
          <w:rFonts w:ascii="宋体" w:hAnsi="宋体" w:cs="宋体"/>
          <w:position w:val="-1"/>
          <w:szCs w:val="21"/>
        </w:rPr>
        <w:t>关</w:t>
      </w:r>
      <w:r>
        <w:rPr>
          <w:rFonts w:ascii="宋体" w:hAnsi="宋体" w:cs="宋体"/>
          <w:spacing w:val="-2"/>
          <w:position w:val="-1"/>
          <w:szCs w:val="21"/>
        </w:rPr>
        <w:t>证</w:t>
      </w:r>
      <w:r>
        <w:rPr>
          <w:rFonts w:ascii="宋体" w:hAnsi="宋体" w:cs="宋体"/>
          <w:position w:val="-1"/>
          <w:szCs w:val="21"/>
        </w:rPr>
        <w:t>明</w:t>
      </w:r>
      <w:r>
        <w:rPr>
          <w:rFonts w:ascii="宋体" w:hAnsi="宋体" w:cs="宋体"/>
          <w:spacing w:val="-2"/>
          <w:position w:val="-1"/>
          <w:szCs w:val="21"/>
        </w:rPr>
        <w:t>材</w:t>
      </w:r>
      <w:r>
        <w:rPr>
          <w:rFonts w:ascii="宋体" w:hAnsi="宋体" w:cs="宋体"/>
          <w:position w:val="-1"/>
          <w:szCs w:val="21"/>
        </w:rPr>
        <w:t>料。</w:t>
      </w:r>
    </w:p>
    <w:p>
      <w:pPr>
        <w:spacing w:line="287" w:lineRule="exact"/>
        <w:ind w:left="100" w:right="-20"/>
        <w:jc w:val="left"/>
        <w:rPr>
          <w:rFonts w:ascii="宋体" w:hAnsi="宋体" w:cs="宋体"/>
          <w:position w:val="-1"/>
          <w:szCs w:val="21"/>
        </w:rPr>
      </w:pPr>
      <w:r>
        <w:rPr>
          <w:rFonts w:hint="eastAsia" w:ascii="宋体" w:hAnsi="宋体" w:cs="宋体"/>
          <w:szCs w:val="21"/>
        </w:rPr>
        <w:t>2.投标人为代理经销商的，投标人须知第 1.4.1 项要求投标人提供投标设备的业绩的，投标人应按照上表的格式提供投标设备的业绩情况并根据投标人须知第 3.5.3 项的要求在本表后附相关证明材料。</w:t>
      </w:r>
    </w:p>
    <w:p>
      <w:pPr>
        <w:spacing w:before="4" w:line="110" w:lineRule="exact"/>
        <w:jc w:val="left"/>
        <w:rPr>
          <w:sz w:val="11"/>
          <w:szCs w:val="11"/>
        </w:rPr>
      </w:pPr>
    </w:p>
    <w:p>
      <w:pPr>
        <w:sectPr>
          <w:type w:val="continuous"/>
          <w:pgSz w:w="11906" w:h="16838"/>
          <w:pgMar w:top="1417" w:right="1134" w:bottom="1417" w:left="1134" w:header="0" w:footer="721" w:gutter="0"/>
          <w:cols w:space="720" w:num="1"/>
        </w:sectPr>
      </w:pPr>
    </w:p>
    <w:p>
      <w:pPr>
        <w:pStyle w:val="5"/>
        <w:bidi w:val="0"/>
        <w:ind w:left="2100" w:leftChars="0" w:firstLine="420" w:firstLineChars="0"/>
        <w:rPr>
          <w:sz w:val="20"/>
        </w:rPr>
      </w:pPr>
      <w:r>
        <w:rPr>
          <w:rStyle w:val="190"/>
          <w:b/>
          <w:bCs/>
          <w:lang w:val="en-US" w:eastAsia="zh-CN" w:bidi="ar-SA"/>
        </w:rPr>
        <w:t>（四）正在供货和新承接的项目情况表</w:t>
      </w:r>
    </w:p>
    <w:tbl>
      <w:tblPr>
        <w:tblStyle w:val="68"/>
        <w:tblW w:w="966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2574"/>
        <w:gridCol w:w="7094"/>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9" w:hRule="exact"/>
          <w:jc w:val="center"/>
        </w:trPr>
        <w:tc>
          <w:tcPr>
            <w:tcW w:w="2574" w:type="dxa"/>
          </w:tcPr>
          <w:p>
            <w:pPr>
              <w:spacing w:before="7" w:line="180" w:lineRule="exact"/>
              <w:jc w:val="left"/>
              <w:rPr>
                <w:sz w:val="18"/>
                <w:szCs w:val="18"/>
              </w:rPr>
            </w:pPr>
          </w:p>
          <w:p>
            <w:pPr>
              <w:ind w:left="707" w:right="-20"/>
              <w:jc w:val="left"/>
              <w:rPr>
                <w:rFonts w:ascii="宋体" w:hAnsi="宋体" w:cs="宋体"/>
                <w:szCs w:val="21"/>
              </w:rPr>
            </w:pPr>
            <w:r>
              <w:rPr>
                <w:rFonts w:hint="eastAsia" w:ascii="宋体" w:hAnsi="宋体" w:cs="宋体"/>
                <w:szCs w:val="21"/>
              </w:rPr>
              <w:t>设备</w:t>
            </w:r>
            <w:r>
              <w:rPr>
                <w:rFonts w:ascii="宋体" w:hAnsi="宋体" w:cs="宋体"/>
                <w:spacing w:val="-2"/>
                <w:szCs w:val="21"/>
              </w:rPr>
              <w:t>名</w:t>
            </w:r>
            <w:r>
              <w:rPr>
                <w:rFonts w:ascii="宋体" w:hAnsi="宋体" w:cs="宋体"/>
                <w:szCs w:val="21"/>
              </w:rPr>
              <w:t>称</w:t>
            </w:r>
          </w:p>
        </w:tc>
        <w:tc>
          <w:tcPr>
            <w:tcW w:w="7094" w:type="dxa"/>
          </w:tc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17" w:hRule="exact"/>
          <w:jc w:val="center"/>
        </w:trPr>
        <w:tc>
          <w:tcPr>
            <w:tcW w:w="2574" w:type="dxa"/>
          </w:tcPr>
          <w:p>
            <w:pPr>
              <w:spacing w:before="6" w:line="150" w:lineRule="exact"/>
              <w:jc w:val="left"/>
              <w:rPr>
                <w:sz w:val="15"/>
                <w:szCs w:val="15"/>
              </w:rPr>
            </w:pPr>
          </w:p>
          <w:p>
            <w:pPr>
              <w:ind w:left="601" w:right="-20"/>
              <w:jc w:val="left"/>
              <w:rPr>
                <w:rFonts w:ascii="宋体" w:hAnsi="宋体" w:cs="宋体"/>
                <w:szCs w:val="21"/>
              </w:rPr>
            </w:pPr>
            <w:r>
              <w:rPr>
                <w:rFonts w:ascii="宋体" w:hAnsi="宋体" w:cs="宋体"/>
                <w:szCs w:val="21"/>
              </w:rPr>
              <w:t>规格</w:t>
            </w:r>
            <w:r>
              <w:rPr>
                <w:rFonts w:ascii="宋体" w:hAnsi="宋体" w:cs="宋体"/>
                <w:spacing w:val="-2"/>
                <w:szCs w:val="21"/>
              </w:rPr>
              <w:t>和</w:t>
            </w:r>
            <w:r>
              <w:rPr>
                <w:rFonts w:ascii="宋体" w:hAnsi="宋体" w:cs="宋体"/>
                <w:szCs w:val="21"/>
              </w:rPr>
              <w:t>型号</w:t>
            </w:r>
          </w:p>
        </w:tc>
        <w:tc>
          <w:tcPr>
            <w:tcW w:w="7094" w:type="dxa"/>
          </w:tc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97" w:hRule="exact"/>
          <w:jc w:val="center"/>
        </w:trPr>
        <w:tc>
          <w:tcPr>
            <w:tcW w:w="2574" w:type="dxa"/>
          </w:tcPr>
          <w:p>
            <w:pPr>
              <w:spacing w:before="4" w:line="240" w:lineRule="exact"/>
              <w:jc w:val="left"/>
              <w:rPr>
                <w:sz w:val="24"/>
              </w:rPr>
            </w:pPr>
          </w:p>
          <w:p>
            <w:pPr>
              <w:ind w:left="707" w:right="-20"/>
              <w:jc w:val="left"/>
              <w:rPr>
                <w:rFonts w:ascii="宋体" w:hAnsi="宋体" w:cs="宋体"/>
                <w:szCs w:val="21"/>
              </w:rPr>
            </w:pPr>
            <w:r>
              <w:rPr>
                <w:rFonts w:ascii="宋体" w:hAnsi="宋体" w:cs="宋体"/>
                <w:szCs w:val="21"/>
              </w:rPr>
              <w:t>项目</w:t>
            </w:r>
            <w:r>
              <w:rPr>
                <w:rFonts w:ascii="宋体" w:hAnsi="宋体" w:cs="宋体"/>
                <w:spacing w:val="-2"/>
                <w:szCs w:val="21"/>
              </w:rPr>
              <w:t>名</w:t>
            </w:r>
            <w:r>
              <w:rPr>
                <w:rFonts w:ascii="宋体" w:hAnsi="宋体" w:cs="宋体"/>
                <w:szCs w:val="21"/>
              </w:rPr>
              <w:t>称</w:t>
            </w:r>
          </w:p>
        </w:tc>
        <w:tc>
          <w:tcPr>
            <w:tcW w:w="7094" w:type="dxa"/>
          </w:tc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17" w:hRule="exact"/>
          <w:jc w:val="center"/>
        </w:trPr>
        <w:tc>
          <w:tcPr>
            <w:tcW w:w="2574" w:type="dxa"/>
          </w:tcPr>
          <w:p>
            <w:pPr>
              <w:spacing w:before="6" w:line="150" w:lineRule="exact"/>
              <w:jc w:val="left"/>
              <w:rPr>
                <w:sz w:val="15"/>
                <w:szCs w:val="15"/>
              </w:rPr>
            </w:pPr>
          </w:p>
          <w:p>
            <w:pPr>
              <w:ind w:left="707" w:right="-20"/>
              <w:jc w:val="left"/>
              <w:rPr>
                <w:rFonts w:ascii="宋体" w:hAnsi="宋体" w:cs="宋体"/>
                <w:szCs w:val="21"/>
              </w:rPr>
            </w:pPr>
            <w:r>
              <w:rPr>
                <w:rFonts w:ascii="宋体" w:hAnsi="宋体" w:cs="宋体"/>
                <w:szCs w:val="21"/>
              </w:rPr>
              <w:t>买方</w:t>
            </w:r>
            <w:r>
              <w:rPr>
                <w:rFonts w:ascii="宋体" w:hAnsi="宋体" w:cs="宋体"/>
                <w:spacing w:val="-2"/>
                <w:szCs w:val="21"/>
              </w:rPr>
              <w:t>名</w:t>
            </w:r>
            <w:r>
              <w:rPr>
                <w:rFonts w:ascii="宋体" w:hAnsi="宋体" w:cs="宋体"/>
                <w:szCs w:val="21"/>
              </w:rPr>
              <w:t>称</w:t>
            </w:r>
          </w:p>
        </w:tc>
        <w:tc>
          <w:tcPr>
            <w:tcW w:w="7094" w:type="dxa"/>
          </w:tc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26" w:hRule="exact"/>
          <w:jc w:val="center"/>
        </w:trPr>
        <w:tc>
          <w:tcPr>
            <w:tcW w:w="2574" w:type="dxa"/>
          </w:tcPr>
          <w:p>
            <w:pPr>
              <w:spacing w:line="160" w:lineRule="exact"/>
              <w:jc w:val="left"/>
              <w:rPr>
                <w:sz w:val="16"/>
                <w:szCs w:val="16"/>
              </w:rPr>
            </w:pPr>
          </w:p>
          <w:p>
            <w:pPr>
              <w:ind w:left="287" w:right="-20"/>
              <w:jc w:val="left"/>
              <w:rPr>
                <w:rFonts w:ascii="宋体" w:hAnsi="宋体" w:cs="宋体"/>
                <w:szCs w:val="21"/>
              </w:rPr>
            </w:pPr>
            <w:r>
              <w:rPr>
                <w:rFonts w:ascii="宋体" w:hAnsi="宋体" w:cs="宋体"/>
                <w:szCs w:val="21"/>
              </w:rPr>
              <w:t>买方</w:t>
            </w:r>
            <w:r>
              <w:rPr>
                <w:rFonts w:ascii="宋体" w:hAnsi="宋体" w:cs="宋体"/>
                <w:spacing w:val="-2"/>
                <w:szCs w:val="21"/>
              </w:rPr>
              <w:t>联</w:t>
            </w:r>
            <w:r>
              <w:rPr>
                <w:rFonts w:ascii="宋体" w:hAnsi="宋体" w:cs="宋体"/>
                <w:szCs w:val="21"/>
              </w:rPr>
              <w:t>系</w:t>
            </w:r>
            <w:r>
              <w:rPr>
                <w:rFonts w:ascii="宋体" w:hAnsi="宋体" w:cs="宋体"/>
                <w:spacing w:val="-2"/>
                <w:szCs w:val="21"/>
              </w:rPr>
              <w:t>人</w:t>
            </w:r>
            <w:r>
              <w:rPr>
                <w:rFonts w:ascii="宋体" w:hAnsi="宋体" w:cs="宋体"/>
                <w:szCs w:val="21"/>
              </w:rPr>
              <w:t>及</w:t>
            </w:r>
            <w:r>
              <w:rPr>
                <w:rFonts w:ascii="宋体" w:hAnsi="宋体" w:cs="宋体"/>
                <w:spacing w:val="-2"/>
                <w:szCs w:val="21"/>
              </w:rPr>
              <w:t>电</w:t>
            </w:r>
            <w:r>
              <w:rPr>
                <w:rFonts w:ascii="宋体" w:hAnsi="宋体" w:cs="宋体"/>
                <w:szCs w:val="21"/>
              </w:rPr>
              <w:t>话</w:t>
            </w:r>
          </w:p>
        </w:tc>
        <w:tc>
          <w:tcPr>
            <w:tcW w:w="7094" w:type="dxa"/>
          </w:tc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19" w:hRule="exact"/>
          <w:jc w:val="center"/>
        </w:trPr>
        <w:tc>
          <w:tcPr>
            <w:tcW w:w="2574" w:type="dxa"/>
          </w:tcPr>
          <w:p>
            <w:pPr>
              <w:spacing w:before="8" w:line="150" w:lineRule="exact"/>
              <w:jc w:val="left"/>
              <w:rPr>
                <w:sz w:val="15"/>
                <w:szCs w:val="15"/>
              </w:rPr>
            </w:pPr>
          </w:p>
          <w:p>
            <w:pPr>
              <w:ind w:left="601" w:right="-20"/>
              <w:jc w:val="left"/>
              <w:rPr>
                <w:rFonts w:ascii="宋体" w:hAnsi="宋体" w:cs="宋体"/>
                <w:szCs w:val="21"/>
              </w:rPr>
            </w:pPr>
            <w:r>
              <w:rPr>
                <w:rFonts w:ascii="宋体" w:hAnsi="宋体" w:cs="宋体"/>
                <w:szCs w:val="21"/>
              </w:rPr>
              <w:t>签约</w:t>
            </w:r>
            <w:r>
              <w:rPr>
                <w:rFonts w:ascii="宋体" w:hAnsi="宋体" w:cs="宋体"/>
                <w:spacing w:val="-2"/>
                <w:szCs w:val="21"/>
              </w:rPr>
              <w:t>合</w:t>
            </w:r>
            <w:r>
              <w:rPr>
                <w:rFonts w:ascii="宋体" w:hAnsi="宋体" w:cs="宋体"/>
                <w:szCs w:val="21"/>
              </w:rPr>
              <w:t>同价</w:t>
            </w:r>
          </w:p>
        </w:tc>
        <w:tc>
          <w:tcPr>
            <w:tcW w:w="7094" w:type="dxa"/>
          </w:tc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092" w:hRule="exact"/>
          <w:jc w:val="center"/>
        </w:trPr>
        <w:tc>
          <w:tcPr>
            <w:tcW w:w="2574" w:type="dxa"/>
          </w:tcPr>
          <w:p>
            <w:pPr>
              <w:spacing w:before="4" w:line="170" w:lineRule="exact"/>
              <w:jc w:val="left"/>
              <w:rPr>
                <w:sz w:val="17"/>
                <w:szCs w:val="17"/>
              </w:rPr>
            </w:pPr>
          </w:p>
          <w:p>
            <w:pPr>
              <w:spacing w:line="200" w:lineRule="exact"/>
              <w:jc w:val="left"/>
              <w:rPr>
                <w:sz w:val="20"/>
              </w:rPr>
            </w:pPr>
          </w:p>
          <w:p>
            <w:pPr>
              <w:spacing w:line="200" w:lineRule="exact"/>
              <w:jc w:val="left"/>
              <w:rPr>
                <w:sz w:val="20"/>
              </w:rPr>
            </w:pPr>
          </w:p>
          <w:p>
            <w:pPr>
              <w:spacing w:line="200" w:lineRule="exact"/>
              <w:jc w:val="left"/>
              <w:rPr>
                <w:sz w:val="20"/>
              </w:rPr>
            </w:pPr>
          </w:p>
          <w:p>
            <w:pPr>
              <w:spacing w:line="200" w:lineRule="exact"/>
              <w:jc w:val="left"/>
              <w:rPr>
                <w:sz w:val="20"/>
              </w:rPr>
            </w:pPr>
          </w:p>
          <w:p>
            <w:pPr>
              <w:spacing w:line="200" w:lineRule="exact"/>
              <w:jc w:val="left"/>
              <w:rPr>
                <w:sz w:val="20"/>
              </w:rPr>
            </w:pPr>
          </w:p>
          <w:p>
            <w:pPr>
              <w:spacing w:line="340" w:lineRule="auto"/>
              <w:ind w:left="813" w:right="115" w:hanging="631"/>
              <w:jc w:val="left"/>
              <w:rPr>
                <w:rFonts w:ascii="宋体" w:hAnsi="宋体" w:cs="宋体"/>
                <w:szCs w:val="21"/>
              </w:rPr>
            </w:pPr>
            <w:r>
              <w:rPr>
                <w:rFonts w:ascii="宋体" w:hAnsi="宋体" w:cs="宋体"/>
                <w:szCs w:val="21"/>
              </w:rPr>
              <w:t>项目</w:t>
            </w:r>
            <w:r>
              <w:rPr>
                <w:rFonts w:ascii="宋体" w:hAnsi="宋体" w:cs="宋体"/>
                <w:spacing w:val="-2"/>
                <w:szCs w:val="21"/>
              </w:rPr>
              <w:t>概</w:t>
            </w:r>
            <w:r>
              <w:rPr>
                <w:rFonts w:ascii="宋体" w:hAnsi="宋体" w:cs="宋体"/>
                <w:szCs w:val="21"/>
              </w:rPr>
              <w:t>况</w:t>
            </w:r>
            <w:r>
              <w:rPr>
                <w:rFonts w:ascii="宋体" w:hAnsi="宋体" w:cs="宋体"/>
                <w:spacing w:val="-2"/>
                <w:szCs w:val="21"/>
              </w:rPr>
              <w:t>及</w:t>
            </w:r>
            <w:r>
              <w:rPr>
                <w:rFonts w:ascii="宋体" w:hAnsi="宋体" w:cs="宋体"/>
                <w:szCs w:val="21"/>
              </w:rPr>
              <w:t>投</w:t>
            </w:r>
            <w:r>
              <w:rPr>
                <w:rFonts w:ascii="宋体" w:hAnsi="宋体" w:cs="宋体"/>
                <w:spacing w:val="-2"/>
                <w:szCs w:val="21"/>
              </w:rPr>
              <w:t>标</w:t>
            </w:r>
            <w:r>
              <w:rPr>
                <w:rFonts w:ascii="宋体" w:hAnsi="宋体" w:cs="宋体"/>
                <w:szCs w:val="21"/>
              </w:rPr>
              <w:t>人履约情况</w:t>
            </w:r>
          </w:p>
        </w:tc>
        <w:tc>
          <w:tcPr>
            <w:tcW w:w="7094" w:type="dxa"/>
          </w:tc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36" w:hRule="exact"/>
          <w:jc w:val="center"/>
        </w:trPr>
        <w:tc>
          <w:tcPr>
            <w:tcW w:w="2574" w:type="dxa"/>
          </w:tcPr>
          <w:p>
            <w:pPr>
              <w:spacing w:before="5" w:line="160" w:lineRule="exact"/>
              <w:jc w:val="left"/>
              <w:rPr>
                <w:sz w:val="16"/>
                <w:szCs w:val="16"/>
              </w:rPr>
            </w:pPr>
          </w:p>
          <w:p>
            <w:pPr>
              <w:ind w:left="882" w:right="861"/>
              <w:jc w:val="center"/>
              <w:rPr>
                <w:rFonts w:ascii="宋体" w:hAnsi="宋体" w:cs="宋体"/>
                <w:szCs w:val="21"/>
              </w:rPr>
            </w:pPr>
            <w:r>
              <w:rPr>
                <w:rFonts w:ascii="宋体" w:hAnsi="宋体" w:cs="宋体"/>
                <w:szCs w:val="21"/>
              </w:rPr>
              <w:t>备注</w:t>
            </w:r>
          </w:p>
        </w:tc>
        <w:tc>
          <w:tcPr>
            <w:tcW w:w="7094" w:type="dxa"/>
          </w:tcPr>
          <w:p/>
        </w:tc>
      </w:tr>
    </w:tbl>
    <w:p>
      <w:pPr>
        <w:spacing w:line="110" w:lineRule="exact"/>
        <w:jc w:val="left"/>
        <w:rPr>
          <w:sz w:val="11"/>
          <w:szCs w:val="11"/>
        </w:rPr>
      </w:pPr>
    </w:p>
    <w:p>
      <w:pPr>
        <w:spacing w:line="287" w:lineRule="exact"/>
        <w:ind w:left="100" w:right="-20"/>
        <w:jc w:val="left"/>
        <w:rPr>
          <w:rFonts w:ascii="宋体" w:hAnsi="宋体" w:cs="宋体"/>
          <w:szCs w:val="21"/>
        </w:rPr>
      </w:pPr>
      <w:r>
        <w:rPr>
          <w:rFonts w:ascii="宋体" w:hAnsi="宋体" w:cs="宋体"/>
          <w:position w:val="-1"/>
          <w:szCs w:val="21"/>
        </w:rPr>
        <w:t>注：</w:t>
      </w:r>
      <w:r>
        <w:rPr>
          <w:rFonts w:ascii="宋体" w:hAnsi="宋体" w:cs="宋体"/>
          <w:spacing w:val="-2"/>
          <w:position w:val="-1"/>
          <w:szCs w:val="21"/>
        </w:rPr>
        <w:t>投</w:t>
      </w:r>
      <w:r>
        <w:rPr>
          <w:rFonts w:ascii="宋体" w:hAnsi="宋体" w:cs="宋体"/>
          <w:position w:val="-1"/>
          <w:szCs w:val="21"/>
        </w:rPr>
        <w:t>标</w:t>
      </w:r>
      <w:r>
        <w:rPr>
          <w:rFonts w:ascii="宋体" w:hAnsi="宋体" w:cs="宋体"/>
          <w:spacing w:val="-2"/>
          <w:position w:val="-1"/>
          <w:szCs w:val="21"/>
        </w:rPr>
        <w:t>人</w:t>
      </w:r>
      <w:r>
        <w:rPr>
          <w:rFonts w:ascii="宋体" w:hAnsi="宋体" w:cs="宋体"/>
          <w:position w:val="-1"/>
          <w:szCs w:val="21"/>
        </w:rPr>
        <w:t>应</w:t>
      </w:r>
      <w:r>
        <w:rPr>
          <w:rFonts w:ascii="宋体" w:hAnsi="宋体" w:cs="宋体"/>
          <w:spacing w:val="-2"/>
          <w:position w:val="-1"/>
          <w:szCs w:val="21"/>
        </w:rPr>
        <w:t>根</w:t>
      </w:r>
      <w:r>
        <w:rPr>
          <w:rFonts w:ascii="宋体" w:hAnsi="宋体" w:cs="宋体"/>
          <w:position w:val="-1"/>
          <w:szCs w:val="21"/>
        </w:rPr>
        <w:t>据</w:t>
      </w:r>
      <w:r>
        <w:rPr>
          <w:rFonts w:ascii="宋体" w:hAnsi="宋体" w:cs="宋体"/>
          <w:spacing w:val="-2"/>
          <w:position w:val="-1"/>
          <w:szCs w:val="21"/>
        </w:rPr>
        <w:t>投</w:t>
      </w:r>
      <w:r>
        <w:rPr>
          <w:rFonts w:ascii="宋体" w:hAnsi="宋体" w:cs="宋体"/>
          <w:position w:val="-1"/>
          <w:szCs w:val="21"/>
        </w:rPr>
        <w:t>标</w:t>
      </w:r>
      <w:r>
        <w:rPr>
          <w:rFonts w:ascii="宋体" w:hAnsi="宋体" w:cs="宋体"/>
          <w:spacing w:val="-2"/>
          <w:position w:val="-1"/>
          <w:szCs w:val="21"/>
        </w:rPr>
        <w:t>人</w:t>
      </w:r>
      <w:r>
        <w:rPr>
          <w:rFonts w:ascii="宋体" w:hAnsi="宋体" w:cs="宋体"/>
          <w:position w:val="-1"/>
          <w:szCs w:val="21"/>
        </w:rPr>
        <w:t>须</w:t>
      </w:r>
      <w:r>
        <w:rPr>
          <w:rFonts w:ascii="宋体" w:hAnsi="宋体" w:cs="宋体"/>
          <w:spacing w:val="-2"/>
          <w:position w:val="-1"/>
          <w:szCs w:val="21"/>
        </w:rPr>
        <w:t>知</w:t>
      </w:r>
      <w:r>
        <w:rPr>
          <w:rFonts w:ascii="宋体" w:hAnsi="宋体" w:cs="宋体"/>
          <w:position w:val="-1"/>
          <w:szCs w:val="21"/>
        </w:rPr>
        <w:t>第</w:t>
      </w:r>
      <w:r>
        <w:rPr>
          <w:rFonts w:eastAsia="Times New Roman"/>
          <w:position w:val="-1"/>
          <w:szCs w:val="21"/>
        </w:rPr>
        <w:t>3.5</w:t>
      </w:r>
      <w:r>
        <w:rPr>
          <w:rFonts w:eastAsia="Times New Roman"/>
          <w:spacing w:val="-2"/>
          <w:position w:val="-1"/>
          <w:szCs w:val="21"/>
        </w:rPr>
        <w:t>.</w:t>
      </w:r>
      <w:r>
        <w:rPr>
          <w:rFonts w:eastAsia="Times New Roman"/>
          <w:position w:val="-1"/>
          <w:szCs w:val="21"/>
        </w:rPr>
        <w:t xml:space="preserve">4 </w:t>
      </w:r>
      <w:r>
        <w:rPr>
          <w:rFonts w:ascii="宋体" w:hAnsi="宋体" w:cs="宋体"/>
          <w:spacing w:val="-2"/>
          <w:position w:val="-1"/>
          <w:szCs w:val="21"/>
        </w:rPr>
        <w:t>项</w:t>
      </w:r>
      <w:r>
        <w:rPr>
          <w:rFonts w:ascii="宋体" w:hAnsi="宋体" w:cs="宋体"/>
          <w:position w:val="-1"/>
          <w:szCs w:val="21"/>
        </w:rPr>
        <w:t>的</w:t>
      </w:r>
      <w:r>
        <w:rPr>
          <w:rFonts w:ascii="宋体" w:hAnsi="宋体" w:cs="宋体"/>
          <w:spacing w:val="-2"/>
          <w:position w:val="-1"/>
          <w:szCs w:val="21"/>
        </w:rPr>
        <w:t>要</w:t>
      </w:r>
      <w:r>
        <w:rPr>
          <w:rFonts w:ascii="宋体" w:hAnsi="宋体" w:cs="宋体"/>
          <w:position w:val="-1"/>
          <w:szCs w:val="21"/>
        </w:rPr>
        <w:t>求</w:t>
      </w:r>
      <w:r>
        <w:rPr>
          <w:rFonts w:ascii="宋体" w:hAnsi="宋体" w:cs="宋体"/>
          <w:spacing w:val="-2"/>
          <w:position w:val="-1"/>
          <w:szCs w:val="21"/>
        </w:rPr>
        <w:t>在本</w:t>
      </w:r>
      <w:r>
        <w:rPr>
          <w:rFonts w:ascii="宋体" w:hAnsi="宋体" w:cs="宋体"/>
          <w:position w:val="-1"/>
          <w:szCs w:val="21"/>
        </w:rPr>
        <w:t>表后</w:t>
      </w:r>
      <w:r>
        <w:rPr>
          <w:rFonts w:ascii="宋体" w:hAnsi="宋体" w:cs="宋体"/>
          <w:spacing w:val="-2"/>
          <w:position w:val="-1"/>
          <w:szCs w:val="21"/>
        </w:rPr>
        <w:t>附</w:t>
      </w:r>
      <w:r>
        <w:rPr>
          <w:rFonts w:ascii="宋体" w:hAnsi="宋体" w:cs="宋体"/>
          <w:position w:val="-1"/>
          <w:szCs w:val="21"/>
        </w:rPr>
        <w:t>相</w:t>
      </w:r>
      <w:r>
        <w:rPr>
          <w:rFonts w:ascii="宋体" w:hAnsi="宋体" w:cs="宋体"/>
          <w:spacing w:val="-2"/>
          <w:position w:val="-1"/>
          <w:szCs w:val="21"/>
        </w:rPr>
        <w:t>关</w:t>
      </w:r>
      <w:r>
        <w:rPr>
          <w:rFonts w:ascii="宋体" w:hAnsi="宋体" w:cs="宋体"/>
          <w:position w:val="-1"/>
          <w:szCs w:val="21"/>
        </w:rPr>
        <w:t>证</w:t>
      </w:r>
      <w:r>
        <w:rPr>
          <w:rFonts w:ascii="宋体" w:hAnsi="宋体" w:cs="宋体"/>
          <w:spacing w:val="-2"/>
          <w:position w:val="-1"/>
          <w:szCs w:val="21"/>
        </w:rPr>
        <w:t>明</w:t>
      </w:r>
      <w:r>
        <w:rPr>
          <w:rFonts w:ascii="宋体" w:hAnsi="宋体" w:cs="宋体"/>
          <w:position w:val="-1"/>
          <w:szCs w:val="21"/>
        </w:rPr>
        <w:t>材</w:t>
      </w:r>
      <w:r>
        <w:rPr>
          <w:rFonts w:ascii="宋体" w:hAnsi="宋体" w:cs="宋体"/>
          <w:spacing w:val="-2"/>
          <w:position w:val="-1"/>
          <w:szCs w:val="21"/>
        </w:rPr>
        <w:t>料</w:t>
      </w:r>
      <w:r>
        <w:rPr>
          <w:rFonts w:ascii="宋体" w:hAnsi="宋体" w:cs="宋体"/>
          <w:position w:val="-1"/>
          <w:szCs w:val="21"/>
        </w:rPr>
        <w:t>。</w:t>
      </w:r>
    </w:p>
    <w:p>
      <w:pPr>
        <w:jc w:val="left"/>
        <w:sectPr>
          <w:pgSz w:w="11906" w:h="16838"/>
          <w:pgMar w:top="1417" w:right="1134" w:bottom="1417" w:left="1134" w:header="0" w:footer="721" w:gutter="0"/>
          <w:cols w:space="720" w:num="1"/>
        </w:sectPr>
      </w:pPr>
    </w:p>
    <w:p>
      <w:pPr>
        <w:pStyle w:val="5"/>
        <w:keepNext/>
        <w:keepLines/>
        <w:pageBreakBefore w:val="0"/>
        <w:widowControl/>
        <w:kinsoku/>
        <w:wordWrap/>
        <w:overflowPunct/>
        <w:topLinePunct w:val="0"/>
        <w:autoSpaceDE/>
        <w:autoSpaceDN/>
        <w:bidi w:val="0"/>
        <w:adjustRightInd/>
        <w:snapToGrid/>
        <w:spacing w:line="240" w:lineRule="auto"/>
        <w:jc w:val="center"/>
        <w:textAlignment w:val="auto"/>
      </w:pPr>
      <w:bookmarkStart w:id="229" w:name="_GoBack"/>
      <w:r>
        <w:t>(五)近年发生的诉讼及仲裁情况</w:t>
      </w:r>
    </w:p>
    <w:bookmarkEnd w:id="229"/>
    <w:p>
      <w:pPr>
        <w:spacing w:before="3" w:line="190" w:lineRule="exact"/>
        <w:jc w:val="left"/>
        <w:rPr>
          <w:sz w:val="19"/>
          <w:szCs w:val="19"/>
        </w:rPr>
      </w:pPr>
    </w:p>
    <w:p>
      <w:pPr>
        <w:spacing w:line="200" w:lineRule="exact"/>
        <w:jc w:val="left"/>
        <w:rPr>
          <w:sz w:val="20"/>
        </w:rPr>
      </w:pPr>
    </w:p>
    <w:p>
      <w:pPr>
        <w:spacing w:line="360" w:lineRule="auto"/>
        <w:ind w:left="102" w:right="45" w:firstLine="420"/>
        <w:rPr>
          <w:rFonts w:ascii="宋体" w:hAnsi="宋体" w:cs="宋体"/>
          <w:szCs w:val="21"/>
        </w:rPr>
      </w:pPr>
      <w:r>
        <w:rPr>
          <w:rFonts w:ascii="宋体" w:hAnsi="宋体" w:cs="宋体"/>
          <w:szCs w:val="21"/>
        </w:rPr>
        <w:t>注:投标人应根据投标人须知第 3.5.5 项的要求附相关证明材料。</w:t>
      </w:r>
    </w:p>
    <w:p>
      <w:pPr>
        <w:spacing w:line="368" w:lineRule="exact"/>
        <w:ind w:left="406" w:right="-20"/>
        <w:jc w:val="center"/>
      </w:pPr>
      <w:r>
        <w:br w:type="page"/>
      </w:r>
    </w:p>
    <w:p>
      <w:pPr>
        <w:spacing w:line="360" w:lineRule="auto"/>
        <w:ind w:left="102" w:right="45"/>
        <w:sectPr>
          <w:pgSz w:w="11906" w:h="16838"/>
          <w:pgMar w:top="1417" w:right="1134" w:bottom="1417" w:left="1134" w:header="0" w:footer="721" w:gutter="0"/>
          <w:cols w:space="720" w:num="1"/>
        </w:sectPr>
      </w:pPr>
    </w:p>
    <w:p>
      <w:pPr>
        <w:pStyle w:val="4"/>
        <w:spacing w:before="0" w:after="0" w:line="415" w:lineRule="auto"/>
        <w:jc w:val="center"/>
        <w:rPr>
          <w:rFonts w:ascii="宋体" w:hAnsi="宋体" w:cs="宋体"/>
          <w:sz w:val="31"/>
          <w:szCs w:val="31"/>
        </w:rPr>
      </w:pPr>
      <w:bookmarkStart w:id="225" w:name="_Toc31791951"/>
      <w:r>
        <w:rPr>
          <w:rFonts w:hint="eastAsia" w:ascii="宋体" w:hAnsi="宋体"/>
          <w:lang w:val="en-US" w:eastAsia="zh-CN"/>
        </w:rPr>
        <w:t>八</w:t>
      </w:r>
      <w:r>
        <w:rPr>
          <w:rFonts w:ascii="宋体" w:hAnsi="宋体"/>
        </w:rPr>
        <w:t>、</w:t>
      </w:r>
      <w:r>
        <w:rPr>
          <w:rFonts w:hint="eastAsia" w:ascii="宋体" w:hAnsi="宋体"/>
        </w:rPr>
        <w:t>投标设备技术性能指标的详细描述</w:t>
      </w:r>
      <w:bookmarkEnd w:id="225"/>
    </w:p>
    <w:p>
      <w:pPr>
        <w:jc w:val="left"/>
        <w:sectPr>
          <w:footerReference r:id="rId6" w:type="default"/>
          <w:pgSz w:w="11906" w:h="16838"/>
          <w:pgMar w:top="1417" w:right="1134" w:bottom="1417" w:left="1134" w:header="0" w:footer="1033" w:gutter="0"/>
          <w:cols w:space="720" w:num="1"/>
        </w:sectPr>
      </w:pPr>
    </w:p>
    <w:p>
      <w:pPr>
        <w:pStyle w:val="4"/>
        <w:spacing w:before="0" w:after="0" w:line="415" w:lineRule="auto"/>
        <w:jc w:val="center"/>
        <w:rPr>
          <w:rFonts w:ascii="宋体" w:hAnsi="宋体"/>
        </w:rPr>
      </w:pPr>
      <w:bookmarkStart w:id="226" w:name="_Toc31791952"/>
      <w:r>
        <w:rPr>
          <w:rFonts w:hint="eastAsia" w:ascii="宋体" w:hAnsi="宋体"/>
          <w:lang w:val="en-US" w:eastAsia="zh-CN"/>
        </w:rPr>
        <w:t>九</w:t>
      </w:r>
      <w:r>
        <w:rPr>
          <w:rFonts w:ascii="宋体" w:hAnsi="宋体"/>
        </w:rPr>
        <w:t>、技术支持</w:t>
      </w:r>
      <w:r>
        <w:rPr>
          <w:rFonts w:hint="eastAsia" w:ascii="宋体" w:hAnsi="宋体"/>
        </w:rPr>
        <w:t>资</w:t>
      </w:r>
      <w:r>
        <w:rPr>
          <w:rFonts w:ascii="宋体" w:hAnsi="宋体"/>
        </w:rPr>
        <w:t>料</w:t>
      </w:r>
      <w:bookmarkEnd w:id="226"/>
    </w:p>
    <w:p>
      <w:pPr>
        <w:rPr>
          <w:sz w:val="24"/>
        </w:rPr>
      </w:pPr>
    </w:p>
    <w:p>
      <w:pPr>
        <w:rPr>
          <w:sz w:val="24"/>
        </w:rPr>
        <w:sectPr>
          <w:pgSz w:w="11906" w:h="16838"/>
          <w:pgMar w:top="1417" w:right="1134" w:bottom="1417" w:left="1134" w:header="0" w:footer="1033" w:gutter="0"/>
          <w:cols w:space="720" w:num="1"/>
        </w:sectPr>
      </w:pPr>
    </w:p>
    <w:p>
      <w:pPr>
        <w:pStyle w:val="4"/>
        <w:spacing w:before="0" w:after="0" w:line="415" w:lineRule="auto"/>
        <w:jc w:val="center"/>
        <w:rPr>
          <w:rFonts w:ascii="宋体" w:hAnsi="宋体"/>
        </w:rPr>
      </w:pPr>
      <w:bookmarkStart w:id="227" w:name="_Toc31791953"/>
      <w:r>
        <w:rPr>
          <w:rFonts w:hint="eastAsia" w:ascii="宋体" w:hAnsi="宋体"/>
          <w:lang w:val="en-US" w:eastAsia="zh-CN"/>
        </w:rPr>
        <w:t>十</w:t>
      </w:r>
      <w:r>
        <w:rPr>
          <w:rFonts w:ascii="宋体" w:hAnsi="宋体"/>
        </w:rPr>
        <w:t>、</w:t>
      </w:r>
      <w:r>
        <w:rPr>
          <w:rFonts w:hint="eastAsia" w:ascii="宋体" w:hAnsi="宋体"/>
        </w:rPr>
        <w:t>技术服务和质保期</w:t>
      </w:r>
      <w:r>
        <w:rPr>
          <w:rFonts w:ascii="宋体" w:hAnsi="宋体"/>
        </w:rPr>
        <w:t>服务</w:t>
      </w:r>
      <w:r>
        <w:rPr>
          <w:rFonts w:hint="eastAsia" w:ascii="宋体" w:hAnsi="宋体"/>
        </w:rPr>
        <w:t>计</w:t>
      </w:r>
      <w:r>
        <w:rPr>
          <w:rFonts w:ascii="宋体" w:hAnsi="宋体"/>
        </w:rPr>
        <w:t>划</w:t>
      </w:r>
      <w:bookmarkEnd w:id="227"/>
    </w:p>
    <w:p/>
    <w:p/>
    <w:p/>
    <w:p/>
    <w:p/>
    <w:p/>
    <w:p/>
    <w:p/>
    <w:p/>
    <w:p/>
    <w:p/>
    <w:p/>
    <w:p/>
    <w:p/>
    <w:p/>
    <w:p/>
    <w:p/>
    <w:p/>
    <w:p/>
    <w:p/>
    <w:p/>
    <w:p/>
    <w:p/>
    <w:p/>
    <w:p/>
    <w:p/>
    <w:p/>
    <w:p/>
    <w:p/>
    <w:p/>
    <w:p/>
    <w:p/>
    <w:p/>
    <w:p/>
    <w:p/>
    <w:p/>
    <w:p/>
    <w:p/>
    <w:p/>
    <w:p/>
    <w:p/>
    <w:p/>
    <w:p>
      <w:pPr>
        <w:pStyle w:val="4"/>
        <w:spacing w:before="0" w:after="0" w:line="415" w:lineRule="auto"/>
        <w:jc w:val="center"/>
        <w:rPr>
          <w:rFonts w:ascii="宋体" w:hAnsi="宋体"/>
        </w:rPr>
      </w:pPr>
      <w:bookmarkStart w:id="228" w:name="_Toc31791954"/>
      <w:r>
        <w:rPr>
          <w:rFonts w:hint="eastAsia" w:ascii="宋体" w:hAnsi="宋体"/>
        </w:rPr>
        <w:t>十</w:t>
      </w:r>
      <w:r>
        <w:rPr>
          <w:rFonts w:hint="eastAsia" w:ascii="宋体" w:hAnsi="宋体"/>
          <w:lang w:val="en-US" w:eastAsia="zh-CN"/>
        </w:rPr>
        <w:t>一</w:t>
      </w:r>
      <w:r>
        <w:rPr>
          <w:rFonts w:hint="eastAsia" w:ascii="宋体" w:hAnsi="宋体"/>
        </w:rPr>
        <w:t>、其他资料</w:t>
      </w:r>
      <w:bookmarkEnd w:id="22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MS Gothic">
    <w:panose1 w:val="020B0609070205080204"/>
    <w:charset w:val="80"/>
    <w:family w:val="modern"/>
    <w:pitch w:val="default"/>
    <w:sig w:usb0="E00002FF" w:usb1="6AC7FDFB" w:usb2="00000012" w:usb3="00000000" w:csb0="4002009F" w:csb1="DFD70000"/>
  </w:font>
  <w:font w:name="方正书宋简体">
    <w:altName w:val="微软雅黑"/>
    <w:panose1 w:val="00000000000000000000"/>
    <w:charset w:val="86"/>
    <w:family w:val="auto"/>
    <w:pitch w:val="default"/>
    <w:sig w:usb0="00000000" w:usb1="00000000" w:usb2="00000010" w:usb3="00000000" w:csb0="00040000" w:csb1="00000000"/>
  </w:font>
  <w:font w:name="华文行楷">
    <w:altName w:val="微软雅黑"/>
    <w:panose1 w:val="02010800040101010101"/>
    <w:charset w:val="86"/>
    <w:family w:val="auto"/>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Calibri Light">
    <w:panose1 w:val="020F0302020204030204"/>
    <w:charset w:val="00"/>
    <w:family w:val="swiss"/>
    <w:pitch w:val="default"/>
    <w:sig w:usb0="A00002EF" w:usb1="4000207B"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幼圆">
    <w:altName w:val="宋体"/>
    <w:panose1 w:val="02010509060101010101"/>
    <w:charset w:val="86"/>
    <w:family w:val="modern"/>
    <w:pitch w:val="default"/>
    <w:sig w:usb0="00000000" w:usb1="00000000" w:usb2="00000010" w:usb3="00000000" w:csb0="00040000" w:csb1="00000000"/>
  </w:font>
  <w:font w:name="TimesNewRomanPSMT">
    <w:altName w:val="Times New Roman"/>
    <w:panose1 w:val="00000000000000000000"/>
    <w:charset w:val="00"/>
    <w:family w:val="roman"/>
    <w:pitch w:val="default"/>
    <w:sig w:usb0="00000000" w:usb1="00000000" w:usb2="00000000" w:usb3="00000000" w:csb0="00000001" w:csb1="00000000"/>
  </w:font>
  <w:font w:name="华文彩云">
    <w:altName w:val="微软雅黑"/>
    <w:panose1 w:val="02010800040101010101"/>
    <w:charset w:val="86"/>
    <w:family w:val="auto"/>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Book Antiqua">
    <w:altName w:val="Segoe Print"/>
    <w:panose1 w:val="02040602050305030304"/>
    <w:charset w:val="00"/>
    <w:family w:val="roman"/>
    <w:pitch w:val="default"/>
    <w:sig w:usb0="00000000" w:usb1="00000000" w:usb2="00000000" w:usb3="00000000" w:csb0="0000009F" w:csb1="00000000"/>
  </w:font>
  <w:font w:name="华文细黑">
    <w:altName w:val="微软雅黑"/>
    <w:panose1 w:val="02010600040101010101"/>
    <w:charset w:val="86"/>
    <w:family w:val="auto"/>
    <w:pitch w:val="default"/>
    <w:sig w:usb0="00000000" w:usb1="00000000" w:usb2="00000010" w:usb3="00000000" w:csb0="0004009F" w:csb1="00000000"/>
  </w:font>
  <w:font w:name="PMingLiU">
    <w:panose1 w:val="02020500000000000000"/>
    <w:charset w:val="88"/>
    <w:family w:val="auto"/>
    <w:pitch w:val="default"/>
    <w:sig w:usb0="A00002FF" w:usb1="28CFFCFA" w:usb2="00000016" w:usb3="00000000" w:csb0="00100001" w:csb1="00000000"/>
  </w:font>
  <w:font w:name="ËÎÌå">
    <w:altName w:val="Times New Roman"/>
    <w:panose1 w:val="00000000000000000000"/>
    <w:charset w:val="00"/>
    <w:family w:val="auto"/>
    <w:pitch w:val="default"/>
    <w:sig w:usb0="00000000" w:usb1="00000000" w:usb2="00000000" w:usb3="00000000" w:csb0="00000001" w:csb1="00000000"/>
  </w:font>
  <w:font w:name="华文中宋">
    <w:altName w:val="宋体"/>
    <w:panose1 w:val="02010600040101010101"/>
    <w:charset w:val="86"/>
    <w:family w:val="auto"/>
    <w:pitch w:val="default"/>
    <w:sig w:usb0="00000000" w:usb1="00000000" w:usb2="00000010" w:usb3="00000000" w:csb0="0004009F" w:csb1="00000000"/>
  </w:font>
  <w:font w:name="MingLiU_HKSCS">
    <w:panose1 w:val="02020500000000000000"/>
    <w:charset w:val="88"/>
    <w:family w:val="roman"/>
    <w:pitch w:val="default"/>
    <w:sig w:usb0="A00002FF" w:usb1="3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jc w:val="center"/>
    </w:pPr>
    <w:r>
      <w:rPr>
        <w:lang w:val="zh-CN"/>
      </w:rPr>
      <w:fldChar w:fldCharType="begin"/>
    </w:r>
    <w:r>
      <w:rPr>
        <w:lang w:val="zh-CN"/>
      </w:rPr>
      <w:instrText xml:space="preserve"> PAGE   \* MERGEFORMAT </w:instrText>
    </w:r>
    <w:r>
      <w:rPr>
        <w:lang w:val="zh-CN"/>
      </w:rPr>
      <w:fldChar w:fldCharType="separate"/>
    </w:r>
    <w:r>
      <w:rPr>
        <w:lang w:val="zh-CN"/>
      </w:rPr>
      <w:t>1</w:t>
    </w:r>
    <w:r>
      <w:rPr>
        <w:lang w:val="zh-CN"/>
      </w:rPr>
      <w:fldChar w:fldCharType="end"/>
    </w:r>
  </w:p>
  <w:p>
    <w:pPr>
      <w:pStyle w:val="4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819"/>
      </w:tabs>
      <w:spacing w:line="200" w:lineRule="exact"/>
      <w:jc w:val="left"/>
      <w:rPr>
        <w:sz w:val="20"/>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41"/>
                          </w:pPr>
                          <w:r>
                            <w:fldChar w:fldCharType="begin"/>
                          </w:r>
                          <w:r>
                            <w:instrText xml:space="preserve"> PAGE  \* MERGEFORMAT </w:instrText>
                          </w:r>
                          <w:r>
                            <w:fldChar w:fldCharType="separate"/>
                          </w:r>
                          <w:r>
                            <w:t>107</w:t>
                          </w:r>
                          <w:r>
                            <w:fldChar w:fldCharType="end"/>
                          </w:r>
                        </w:p>
                      </w:txbxContent>
                    </wps:txbx>
                    <wps:bodyPr wrap="none" lIns="0" tIns="0" rIns="0" bIns="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zql5uc8A&#10;AAAFAQAADwAAAAAAAAABACAAAAAiAAAAZHJzL2Rvd25yZXYueG1sUEsBAhQAFAAAAAgAh07iQHoS&#10;4pe2AQAAVgMAAA4AAAAAAAAAAQAgAAAAHgEAAGRycy9lMm9Eb2MueG1sUEsFBgAAAAAGAAYAWQEA&#10;AEYFAAAAAA==&#10;">
              <v:fill on="f" focussize="0,0"/>
              <v:stroke on="f"/>
              <v:imagedata o:title=""/>
              <o:lock v:ext="edit" aspectratio="f"/>
              <v:textbox inset="0mm,0mm,0mm,0mm" style="mso-fit-shape-to-text:t;">
                <w:txbxContent>
                  <w:p>
                    <w:pPr>
                      <w:pStyle w:val="41"/>
                    </w:pPr>
                    <w:r>
                      <w:fldChar w:fldCharType="begin"/>
                    </w:r>
                    <w:r>
                      <w:instrText xml:space="preserve"> PAGE  \* MERGEFORMAT </w:instrText>
                    </w:r>
                    <w:r>
                      <w:fldChar w:fldCharType="separate"/>
                    </w:r>
                    <w:r>
                      <w:t>107</w:t>
                    </w:r>
                    <w:r>
                      <w:fldChar w:fldCharType="end"/>
                    </w:r>
                  </w:p>
                </w:txbxContent>
              </v:textbox>
            </v:shape>
          </w:pict>
        </mc:Fallback>
      </mc:AlternateContent>
    </w: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ge">
                <wp:posOffset>9262110</wp:posOffset>
              </wp:positionV>
              <wp:extent cx="269240" cy="208915"/>
              <wp:effectExtent l="0" t="0" r="0" b="0"/>
              <wp:wrapNone/>
              <wp:docPr id="3" name="文本框 2"/>
              <wp:cNvGraphicFramePr/>
              <a:graphic xmlns:a="http://schemas.openxmlformats.org/drawingml/2006/main">
                <a:graphicData uri="http://schemas.microsoft.com/office/word/2010/wordprocessingShape">
                  <wps:wsp>
                    <wps:cNvSpPr txBox="1"/>
                    <wps:spPr>
                      <a:xfrm>
                        <a:off x="0" y="0"/>
                        <a:ext cx="269240" cy="208915"/>
                      </a:xfrm>
                      <a:prstGeom prst="rect">
                        <a:avLst/>
                      </a:prstGeom>
                      <a:noFill/>
                      <a:ln w="9525">
                        <a:noFill/>
                      </a:ln>
                      <a:effectLst/>
                    </wps:spPr>
                    <wps:txbx>
                      <w:txbxContent>
                        <w:p>
                          <w:pPr>
                            <w:spacing w:before="4" w:line="130" w:lineRule="exact"/>
                            <w:jc w:val="left"/>
                            <w:rPr>
                              <w:sz w:val="13"/>
                              <w:szCs w:val="13"/>
                            </w:rPr>
                          </w:pPr>
                        </w:p>
                        <w:p>
                          <w:pPr>
                            <w:ind w:left="181" w:right="-20"/>
                            <w:jc w:val="left"/>
                            <w:rPr>
                              <w:rFonts w:ascii="Courier New" w:hAnsi="Courier New" w:eastAsia="Courier New" w:cs="Courier New"/>
                              <w:sz w:val="16"/>
                              <w:szCs w:val="16"/>
                            </w:rPr>
                          </w:pPr>
                        </w:p>
                      </w:txbxContent>
                    </wps:txbx>
                    <wps:bodyPr lIns="0" tIns="0" rIns="0" bIns="0" upright="1"/>
                  </wps:wsp>
                </a:graphicData>
              </a:graphic>
            </wp:anchor>
          </w:drawing>
        </mc:Choice>
        <mc:Fallback>
          <w:pict>
            <v:shape id="文本框 2" o:spid="_x0000_s1026" o:spt="202" type="#_x0000_t202" style="position:absolute;left:0pt;margin-top:729.3pt;height:16.45pt;width:21.2pt;mso-position-horizontal:center;mso-position-horizontal-relative:margin;mso-position-vertical-relative:page;z-index:251658240;mso-width-relative:page;mso-height-relative:page;" filled="f" stroked="f" coordsize="21600,21600" o:gfxdata="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MqAiVLYAAAA&#10;CQEAAA8AAAAAAAAAAQAgAAAAIgAAAGRycy9kb3ducmV2LnhtbFBLAQIUABQAAAAIAIdO4kBRYXo7&#10;qwEAADoDAAAOAAAAAAAAAAEAIAAAACcBAABkcnMvZTJvRG9jLnhtbFBLBQYAAAAABgAGAFkBAABE&#10;BQAAAAA=&#10;">
              <v:fill on="f" focussize="0,0"/>
              <v:stroke on="f"/>
              <v:imagedata o:title=""/>
              <o:lock v:ext="edit" aspectratio="f"/>
              <v:textbox inset="0mm,0mm,0mm,0mm">
                <w:txbxContent>
                  <w:p>
                    <w:pPr>
                      <w:spacing w:before="4" w:line="130" w:lineRule="exact"/>
                      <w:jc w:val="left"/>
                      <w:rPr>
                        <w:sz w:val="13"/>
                        <w:szCs w:val="13"/>
                      </w:rPr>
                    </w:pPr>
                  </w:p>
                  <w:p>
                    <w:pPr>
                      <w:ind w:left="181" w:right="-20"/>
                      <w:jc w:val="left"/>
                      <w:rPr>
                        <w:rFonts w:ascii="Courier New" w:hAnsi="Courier New" w:eastAsia="Courier New" w:cs="Courier New"/>
                        <w:sz w:val="16"/>
                        <w:szCs w:val="16"/>
                      </w:rPr>
                    </w:pPr>
                  </w:p>
                </w:txbxContent>
              </v:textbox>
            </v:shape>
          </w:pict>
        </mc:Fallback>
      </mc:AlternateContent>
    </w:r>
    <w:r>
      <w:rPr>
        <w:rFonts w:hint="eastAsia"/>
        <w:sz w:val="20"/>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6CCCEEA"/>
    <w:multiLevelType w:val="singleLevel"/>
    <w:tmpl w:val="96CCCEEA"/>
    <w:lvl w:ilvl="0" w:tentative="0">
      <w:start w:val="1"/>
      <w:numFmt w:val="chineseCounting"/>
      <w:suff w:val="space"/>
      <w:lvlText w:val="第%1章"/>
      <w:lvlJc w:val="left"/>
      <w:rPr>
        <w:rFonts w:hint="eastAsia"/>
      </w:rPr>
    </w:lvl>
  </w:abstractNum>
  <w:abstractNum w:abstractNumId="1">
    <w:nsid w:val="DBC599D7"/>
    <w:multiLevelType w:val="singleLevel"/>
    <w:tmpl w:val="DBC599D7"/>
    <w:lvl w:ilvl="0" w:tentative="0">
      <w:start w:val="1"/>
      <w:numFmt w:val="chineseCounting"/>
      <w:suff w:val="nothing"/>
      <w:lvlText w:val="%1、"/>
      <w:lvlJc w:val="left"/>
      <w:rPr>
        <w:rFonts w:hint="eastAsia"/>
      </w:rPr>
    </w:lvl>
  </w:abstractNum>
  <w:abstractNum w:abstractNumId="2">
    <w:nsid w:val="E170CDD4"/>
    <w:multiLevelType w:val="singleLevel"/>
    <w:tmpl w:val="E170CDD4"/>
    <w:lvl w:ilvl="0" w:tentative="0">
      <w:start w:val="1"/>
      <w:numFmt w:val="decimal"/>
      <w:suff w:val="space"/>
      <w:lvlText w:val="%1."/>
      <w:lvlJc w:val="left"/>
    </w:lvl>
  </w:abstractNum>
  <w:abstractNum w:abstractNumId="3">
    <w:nsid w:val="FE171995"/>
    <w:multiLevelType w:val="singleLevel"/>
    <w:tmpl w:val="FE171995"/>
    <w:lvl w:ilvl="0" w:tentative="0">
      <w:start w:val="2"/>
      <w:numFmt w:val="chineseCounting"/>
      <w:suff w:val="nothing"/>
      <w:lvlText w:val="%1、"/>
      <w:lvlJc w:val="left"/>
      <w:rPr>
        <w:rFonts w:hint="eastAsia"/>
      </w:rPr>
    </w:lvl>
  </w:abstractNum>
  <w:abstractNum w:abstractNumId="4">
    <w:nsid w:val="00000003"/>
    <w:multiLevelType w:val="multilevel"/>
    <w:tmpl w:val="00000003"/>
    <w:lvl w:ilvl="0" w:tentative="0">
      <w:start w:val="2"/>
      <w:numFmt w:val="decimal"/>
      <w:lvlText w:val="%1."/>
      <w:lvlJc w:val="left"/>
      <w:pPr>
        <w:tabs>
          <w:tab w:val="left" w:pos="720"/>
        </w:tabs>
        <w:ind w:left="720" w:hanging="360"/>
      </w:pPr>
      <w:rPr>
        <w:rFonts w:hint="default"/>
        <w:u w:val="none"/>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5">
    <w:nsid w:val="00000004"/>
    <w:multiLevelType w:val="multilevel"/>
    <w:tmpl w:val="00000004"/>
    <w:lvl w:ilvl="0" w:tentative="0">
      <w:start w:val="1"/>
      <w:numFmt w:val="decimal"/>
      <w:pStyle w:val="94"/>
      <w:lvlText w:val="%1."/>
      <w:lvlJc w:val="left"/>
      <w:pPr>
        <w:tabs>
          <w:tab w:val="left" w:pos="720"/>
        </w:tabs>
        <w:ind w:left="720" w:hanging="360"/>
      </w:pPr>
      <w:rPr>
        <w:rFonts w:hint="default"/>
        <w:u w:val="none"/>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6">
    <w:nsid w:val="00000007"/>
    <w:multiLevelType w:val="singleLevel"/>
    <w:tmpl w:val="00000007"/>
    <w:lvl w:ilvl="0" w:tentative="0">
      <w:start w:val="1"/>
      <w:numFmt w:val="decimal"/>
      <w:suff w:val="nothing"/>
      <w:lvlText w:val="（%1）"/>
      <w:lvlJc w:val="left"/>
    </w:lvl>
  </w:abstractNum>
  <w:abstractNum w:abstractNumId="7">
    <w:nsid w:val="00000008"/>
    <w:multiLevelType w:val="multilevel"/>
    <w:tmpl w:val="00000008"/>
    <w:lvl w:ilvl="0" w:tentative="0">
      <w:start w:val="4"/>
      <w:numFmt w:val="decimal"/>
      <w:lvlText w:val="%1."/>
      <w:lvlJc w:val="left"/>
      <w:pPr>
        <w:tabs>
          <w:tab w:val="left" w:pos="720"/>
        </w:tabs>
        <w:ind w:left="720" w:hanging="360"/>
      </w:pPr>
      <w:rPr>
        <w:rFonts w:hint="default"/>
        <w:u w:val="none"/>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8">
    <w:nsid w:val="00D64BED"/>
    <w:multiLevelType w:val="multilevel"/>
    <w:tmpl w:val="00D64BED"/>
    <w:lvl w:ilvl="0" w:tentative="0">
      <w:start w:val="1"/>
      <w:numFmt w:val="decimal"/>
      <w:pStyle w:val="16"/>
      <w:lvlText w:val="%1"/>
      <w:lvlJc w:val="left"/>
      <w:pPr>
        <w:tabs>
          <w:tab w:val="left" w:pos="567"/>
        </w:tabs>
        <w:ind w:left="0" w:firstLine="0"/>
      </w:pPr>
      <w:rPr>
        <w:rFonts w:hint="default" w:ascii="Arial" w:hAnsi="Arial"/>
        <w:b/>
        <w:i w:val="0"/>
        <w:sz w:val="28"/>
        <w:szCs w:val="28"/>
      </w:r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abstractNum w:abstractNumId="9">
    <w:nsid w:val="40CF768F"/>
    <w:multiLevelType w:val="multilevel"/>
    <w:tmpl w:val="40CF768F"/>
    <w:lvl w:ilvl="0" w:tentative="0">
      <w:start w:val="1"/>
      <w:numFmt w:val="lowerLetter"/>
      <w:lvlText w:val="%1)"/>
      <w:lvlJc w:val="left"/>
      <w:pPr>
        <w:tabs>
          <w:tab w:val="left" w:pos="1260"/>
        </w:tabs>
        <w:ind w:left="1260" w:hanging="420"/>
      </w:pPr>
    </w:lvl>
    <w:lvl w:ilvl="1" w:tentative="0">
      <w:start w:val="1"/>
      <w:numFmt w:val="lowerLetter"/>
      <w:lvlText w:val="%2)"/>
      <w:lvlJc w:val="left"/>
      <w:pPr>
        <w:tabs>
          <w:tab w:val="left" w:pos="1680"/>
        </w:tabs>
        <w:ind w:left="1680" w:hanging="420"/>
      </w:pPr>
    </w:lvl>
    <w:lvl w:ilvl="2" w:tentative="0">
      <w:start w:val="1"/>
      <w:numFmt w:val="lowerRoman"/>
      <w:lvlText w:val="%3."/>
      <w:lvlJc w:val="right"/>
      <w:pPr>
        <w:tabs>
          <w:tab w:val="left" w:pos="2100"/>
        </w:tabs>
        <w:ind w:left="2100" w:hanging="420"/>
      </w:pPr>
    </w:lvl>
    <w:lvl w:ilvl="3" w:tentative="0">
      <w:start w:val="1"/>
      <w:numFmt w:val="decimal"/>
      <w:lvlText w:val="%4."/>
      <w:lvlJc w:val="left"/>
      <w:pPr>
        <w:tabs>
          <w:tab w:val="left" w:pos="2520"/>
        </w:tabs>
        <w:ind w:left="2520" w:hanging="420"/>
      </w:pPr>
    </w:lvl>
    <w:lvl w:ilvl="4" w:tentative="0">
      <w:start w:val="1"/>
      <w:numFmt w:val="lowerLetter"/>
      <w:lvlText w:val="%5)"/>
      <w:lvlJc w:val="left"/>
      <w:pPr>
        <w:tabs>
          <w:tab w:val="left" w:pos="2940"/>
        </w:tabs>
        <w:ind w:left="2940" w:hanging="420"/>
      </w:p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abstractNum w:abstractNumId="10">
    <w:nsid w:val="562F02FA"/>
    <w:multiLevelType w:val="multilevel"/>
    <w:tmpl w:val="562F02FA"/>
    <w:lvl w:ilvl="0" w:tentative="0">
      <w:start w:val="1"/>
      <w:numFmt w:val="decimal"/>
      <w:lvlText w:val="%1"/>
      <w:lvlJc w:val="left"/>
      <w:pPr>
        <w:tabs>
          <w:tab w:val="left" w:pos="495"/>
        </w:tabs>
        <w:ind w:left="495" w:hanging="495"/>
      </w:pPr>
      <w:rPr>
        <w:rFonts w:hint="default"/>
      </w:rPr>
    </w:lvl>
    <w:lvl w:ilvl="1" w:tentative="0">
      <w:start w:val="1"/>
      <w:numFmt w:val="decimal"/>
      <w:lvlText w:val="%1.%2"/>
      <w:lvlJc w:val="left"/>
      <w:pPr>
        <w:tabs>
          <w:tab w:val="left" w:pos="495"/>
        </w:tabs>
        <w:ind w:left="495" w:hanging="495"/>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2160"/>
        </w:tabs>
        <w:ind w:left="2160" w:hanging="2160"/>
      </w:pPr>
      <w:rPr>
        <w:rFonts w:hint="default"/>
      </w:rPr>
    </w:lvl>
  </w:abstractNum>
  <w:abstractNum w:abstractNumId="11">
    <w:nsid w:val="58DC2BE3"/>
    <w:multiLevelType w:val="multilevel"/>
    <w:tmpl w:val="58DC2BE3"/>
    <w:lvl w:ilvl="0" w:tentative="0">
      <w:start w:val="1"/>
      <w:numFmt w:val="decimal"/>
      <w:lvlText w:val="%1)"/>
      <w:lvlJc w:val="left"/>
      <w:pPr>
        <w:tabs>
          <w:tab w:val="left" w:pos="1260"/>
        </w:tabs>
        <w:ind w:left="126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5C4636A1"/>
    <w:multiLevelType w:val="multilevel"/>
    <w:tmpl w:val="5C4636A1"/>
    <w:lvl w:ilvl="0" w:tentative="0">
      <w:start w:val="1"/>
      <w:numFmt w:val="decimal"/>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decimal"/>
      <w:lvlText w:val="%3）"/>
      <w:lvlJc w:val="left"/>
      <w:pPr>
        <w:tabs>
          <w:tab w:val="left" w:pos="1620"/>
        </w:tabs>
        <w:ind w:left="1620" w:hanging="360"/>
      </w:pPr>
      <w:rPr>
        <w:rFonts w:hint="default"/>
      </w:r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3">
    <w:nsid w:val="6DEC4B70"/>
    <w:multiLevelType w:val="multilevel"/>
    <w:tmpl w:val="6DEC4B70"/>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8"/>
  </w:num>
  <w:num w:numId="2">
    <w:abstractNumId w:val="5"/>
  </w:num>
  <w:num w:numId="3">
    <w:abstractNumId w:val="0"/>
  </w:num>
  <w:num w:numId="4">
    <w:abstractNumId w:val="6"/>
  </w:num>
  <w:num w:numId="5">
    <w:abstractNumId w:val="7"/>
  </w:num>
  <w:num w:numId="6">
    <w:abstractNumId w:val="4"/>
  </w:num>
  <w:num w:numId="7">
    <w:abstractNumId w:val="3"/>
  </w:num>
  <w:num w:numId="8">
    <w:abstractNumId w:val="10"/>
  </w:num>
  <w:num w:numId="9">
    <w:abstractNumId w:val="13"/>
  </w:num>
  <w:num w:numId="10">
    <w:abstractNumId w:val="11"/>
  </w:num>
  <w:num w:numId="11">
    <w:abstractNumId w:val="12"/>
  </w:num>
  <w:num w:numId="12">
    <w:abstractNumId w:val="9"/>
  </w:num>
  <w:num w:numId="13">
    <w:abstractNumId w:val="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hideSpellingErrors/>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FE1207"/>
    <w:rsid w:val="00006DAC"/>
    <w:rsid w:val="00016B83"/>
    <w:rsid w:val="00033C7E"/>
    <w:rsid w:val="00055E1A"/>
    <w:rsid w:val="00064E91"/>
    <w:rsid w:val="00067DE9"/>
    <w:rsid w:val="000865A9"/>
    <w:rsid w:val="000D240D"/>
    <w:rsid w:val="000D6F18"/>
    <w:rsid w:val="000E1B88"/>
    <w:rsid w:val="000E4CCC"/>
    <w:rsid w:val="001046B5"/>
    <w:rsid w:val="00116071"/>
    <w:rsid w:val="00122E29"/>
    <w:rsid w:val="00124F21"/>
    <w:rsid w:val="001344B2"/>
    <w:rsid w:val="001410C4"/>
    <w:rsid w:val="0016231F"/>
    <w:rsid w:val="00164DB0"/>
    <w:rsid w:val="001B66FF"/>
    <w:rsid w:val="001C415F"/>
    <w:rsid w:val="001C5615"/>
    <w:rsid w:val="001D3EC3"/>
    <w:rsid w:val="001E1164"/>
    <w:rsid w:val="001E15B1"/>
    <w:rsid w:val="001E4DAC"/>
    <w:rsid w:val="001F3DD3"/>
    <w:rsid w:val="001F4980"/>
    <w:rsid w:val="001F4EBC"/>
    <w:rsid w:val="0021625F"/>
    <w:rsid w:val="002307F5"/>
    <w:rsid w:val="00232474"/>
    <w:rsid w:val="00247D4C"/>
    <w:rsid w:val="002528ED"/>
    <w:rsid w:val="0027648E"/>
    <w:rsid w:val="00290F54"/>
    <w:rsid w:val="002C5B0F"/>
    <w:rsid w:val="002E1E0B"/>
    <w:rsid w:val="002E22BF"/>
    <w:rsid w:val="002E7445"/>
    <w:rsid w:val="002F5571"/>
    <w:rsid w:val="003016DB"/>
    <w:rsid w:val="0031127B"/>
    <w:rsid w:val="0032015D"/>
    <w:rsid w:val="00323949"/>
    <w:rsid w:val="0035716B"/>
    <w:rsid w:val="00357D05"/>
    <w:rsid w:val="00365445"/>
    <w:rsid w:val="003974C9"/>
    <w:rsid w:val="003B04A8"/>
    <w:rsid w:val="003D0774"/>
    <w:rsid w:val="003D1819"/>
    <w:rsid w:val="003F7A06"/>
    <w:rsid w:val="00420E29"/>
    <w:rsid w:val="00444A5E"/>
    <w:rsid w:val="00463A74"/>
    <w:rsid w:val="004828C8"/>
    <w:rsid w:val="00483028"/>
    <w:rsid w:val="00485C59"/>
    <w:rsid w:val="004A415C"/>
    <w:rsid w:val="004D5EDE"/>
    <w:rsid w:val="004F0979"/>
    <w:rsid w:val="00503DD1"/>
    <w:rsid w:val="00511431"/>
    <w:rsid w:val="005161A9"/>
    <w:rsid w:val="00525A9B"/>
    <w:rsid w:val="00532E83"/>
    <w:rsid w:val="00533F92"/>
    <w:rsid w:val="00535AC4"/>
    <w:rsid w:val="00537295"/>
    <w:rsid w:val="00546609"/>
    <w:rsid w:val="00555B22"/>
    <w:rsid w:val="00571317"/>
    <w:rsid w:val="00572520"/>
    <w:rsid w:val="00576478"/>
    <w:rsid w:val="00577739"/>
    <w:rsid w:val="00581FE8"/>
    <w:rsid w:val="005834A0"/>
    <w:rsid w:val="005879DC"/>
    <w:rsid w:val="00587B23"/>
    <w:rsid w:val="00596642"/>
    <w:rsid w:val="005A0474"/>
    <w:rsid w:val="005D2BFD"/>
    <w:rsid w:val="005F2173"/>
    <w:rsid w:val="00610744"/>
    <w:rsid w:val="00626192"/>
    <w:rsid w:val="0063785E"/>
    <w:rsid w:val="00645D29"/>
    <w:rsid w:val="0067226E"/>
    <w:rsid w:val="00686685"/>
    <w:rsid w:val="006A5E4C"/>
    <w:rsid w:val="006A7411"/>
    <w:rsid w:val="006E6C21"/>
    <w:rsid w:val="006F397A"/>
    <w:rsid w:val="006F543C"/>
    <w:rsid w:val="007151E3"/>
    <w:rsid w:val="00730605"/>
    <w:rsid w:val="00735EA1"/>
    <w:rsid w:val="007447E2"/>
    <w:rsid w:val="007678D8"/>
    <w:rsid w:val="00791AFC"/>
    <w:rsid w:val="007A55CC"/>
    <w:rsid w:val="007C3D18"/>
    <w:rsid w:val="007D00F9"/>
    <w:rsid w:val="007E30FC"/>
    <w:rsid w:val="0082512B"/>
    <w:rsid w:val="00846FD6"/>
    <w:rsid w:val="008475A0"/>
    <w:rsid w:val="00855E5B"/>
    <w:rsid w:val="008805B3"/>
    <w:rsid w:val="00890529"/>
    <w:rsid w:val="008B5C35"/>
    <w:rsid w:val="008C48C3"/>
    <w:rsid w:val="008E3EC0"/>
    <w:rsid w:val="00910B23"/>
    <w:rsid w:val="00912115"/>
    <w:rsid w:val="00913991"/>
    <w:rsid w:val="00922755"/>
    <w:rsid w:val="00945A85"/>
    <w:rsid w:val="00950B52"/>
    <w:rsid w:val="00962095"/>
    <w:rsid w:val="009626F6"/>
    <w:rsid w:val="0096581D"/>
    <w:rsid w:val="009A1AC9"/>
    <w:rsid w:val="009A520A"/>
    <w:rsid w:val="009A53B8"/>
    <w:rsid w:val="009B5A29"/>
    <w:rsid w:val="009D4C67"/>
    <w:rsid w:val="00A3045A"/>
    <w:rsid w:val="00A41235"/>
    <w:rsid w:val="00A61D8F"/>
    <w:rsid w:val="00A76777"/>
    <w:rsid w:val="00A8064D"/>
    <w:rsid w:val="00A92D21"/>
    <w:rsid w:val="00AD2EBF"/>
    <w:rsid w:val="00B04423"/>
    <w:rsid w:val="00B050AF"/>
    <w:rsid w:val="00B05B31"/>
    <w:rsid w:val="00B36B3B"/>
    <w:rsid w:val="00B47BCB"/>
    <w:rsid w:val="00B70C5B"/>
    <w:rsid w:val="00B71ECD"/>
    <w:rsid w:val="00B7344F"/>
    <w:rsid w:val="00B85B77"/>
    <w:rsid w:val="00B94604"/>
    <w:rsid w:val="00BA53FB"/>
    <w:rsid w:val="00BA543E"/>
    <w:rsid w:val="00BB13C3"/>
    <w:rsid w:val="00BC362D"/>
    <w:rsid w:val="00BD1D3D"/>
    <w:rsid w:val="00BD75F9"/>
    <w:rsid w:val="00C0439D"/>
    <w:rsid w:val="00C053B4"/>
    <w:rsid w:val="00C11F25"/>
    <w:rsid w:val="00C17571"/>
    <w:rsid w:val="00C406FE"/>
    <w:rsid w:val="00C44828"/>
    <w:rsid w:val="00C53346"/>
    <w:rsid w:val="00C60ECD"/>
    <w:rsid w:val="00C7319D"/>
    <w:rsid w:val="00CB06BB"/>
    <w:rsid w:val="00CB3E91"/>
    <w:rsid w:val="00CC21CC"/>
    <w:rsid w:val="00CC29E6"/>
    <w:rsid w:val="00CC51F4"/>
    <w:rsid w:val="00CD39B9"/>
    <w:rsid w:val="00CF3413"/>
    <w:rsid w:val="00CF3482"/>
    <w:rsid w:val="00CF62BA"/>
    <w:rsid w:val="00CF64C3"/>
    <w:rsid w:val="00D1795B"/>
    <w:rsid w:val="00D56E8C"/>
    <w:rsid w:val="00D56F98"/>
    <w:rsid w:val="00D61E38"/>
    <w:rsid w:val="00D67D19"/>
    <w:rsid w:val="00D73ED2"/>
    <w:rsid w:val="00DC549E"/>
    <w:rsid w:val="00DD391A"/>
    <w:rsid w:val="00DE22DC"/>
    <w:rsid w:val="00DE45A9"/>
    <w:rsid w:val="00E11CF4"/>
    <w:rsid w:val="00E13E49"/>
    <w:rsid w:val="00E25BB2"/>
    <w:rsid w:val="00E35328"/>
    <w:rsid w:val="00E4103C"/>
    <w:rsid w:val="00E56F18"/>
    <w:rsid w:val="00E66682"/>
    <w:rsid w:val="00E66F75"/>
    <w:rsid w:val="00E705DB"/>
    <w:rsid w:val="00E74566"/>
    <w:rsid w:val="00E844B7"/>
    <w:rsid w:val="00EB68C4"/>
    <w:rsid w:val="00EC0431"/>
    <w:rsid w:val="00F17ED0"/>
    <w:rsid w:val="00F8780F"/>
    <w:rsid w:val="00F91E08"/>
    <w:rsid w:val="00F95D2D"/>
    <w:rsid w:val="00FA0823"/>
    <w:rsid w:val="00FB0F88"/>
    <w:rsid w:val="00FC3460"/>
    <w:rsid w:val="00FE1C65"/>
    <w:rsid w:val="00FE28F7"/>
    <w:rsid w:val="06A01C72"/>
    <w:rsid w:val="06FB394C"/>
    <w:rsid w:val="0CC23ABC"/>
    <w:rsid w:val="0F546584"/>
    <w:rsid w:val="105C70F4"/>
    <w:rsid w:val="130237AE"/>
    <w:rsid w:val="174048CD"/>
    <w:rsid w:val="1A4E3081"/>
    <w:rsid w:val="1BD9129B"/>
    <w:rsid w:val="1C243B72"/>
    <w:rsid w:val="23556BFC"/>
    <w:rsid w:val="23837311"/>
    <w:rsid w:val="24226BFE"/>
    <w:rsid w:val="254C5D90"/>
    <w:rsid w:val="262F5195"/>
    <w:rsid w:val="29121079"/>
    <w:rsid w:val="29D07DA2"/>
    <w:rsid w:val="2A106090"/>
    <w:rsid w:val="2A7533A7"/>
    <w:rsid w:val="2B721D9E"/>
    <w:rsid w:val="2C102A76"/>
    <w:rsid w:val="36EC06A1"/>
    <w:rsid w:val="454D33E4"/>
    <w:rsid w:val="4F3622EE"/>
    <w:rsid w:val="51210B1C"/>
    <w:rsid w:val="54630FA3"/>
    <w:rsid w:val="57326FAB"/>
    <w:rsid w:val="57C55CF3"/>
    <w:rsid w:val="588F21B4"/>
    <w:rsid w:val="591812BD"/>
    <w:rsid w:val="5AC90F9B"/>
    <w:rsid w:val="5B801E06"/>
    <w:rsid w:val="5D484B5B"/>
    <w:rsid w:val="5F0853CF"/>
    <w:rsid w:val="5FA35021"/>
    <w:rsid w:val="60980806"/>
    <w:rsid w:val="61252DAC"/>
    <w:rsid w:val="61FE1207"/>
    <w:rsid w:val="6202695F"/>
    <w:rsid w:val="620A7A4D"/>
    <w:rsid w:val="63005CDE"/>
    <w:rsid w:val="636D3E42"/>
    <w:rsid w:val="680833D7"/>
    <w:rsid w:val="6A3E2E49"/>
    <w:rsid w:val="6D535020"/>
    <w:rsid w:val="6D5E0BB2"/>
    <w:rsid w:val="6F114FE0"/>
    <w:rsid w:val="6F792D30"/>
    <w:rsid w:val="7262109F"/>
    <w:rsid w:val="72FE26DB"/>
    <w:rsid w:val="756566F7"/>
    <w:rsid w:val="78DF3751"/>
    <w:rsid w:val="7D5A00C0"/>
    <w:rsid w:val="7E101581"/>
    <w:rsid w:val="7E3A65ED"/>
    <w:rsid w:val="7FAB5056"/>
    <w:rsid w:val="7FE178B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semiHidden="0" w:name="index 1"/>
    <w:lsdException w:unhideWhenUsed="0" w:uiPriority="99" w:semiHidden="0" w:name="index 2"/>
    <w:lsdException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unhideWhenUsed="0" w:uiPriority="99" w:semiHidden="0" w:name="index 7"/>
    <w:lsdException w:unhideWhenUsed="0" w:uiPriority="99" w:semiHidden="0" w:name="index 8"/>
    <w:lsdException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qFormat="1" w:unhideWhenUsed="0" w:uiPriority="99" w:semiHidden="0" w:name="toa heading"/>
    <w:lsdException w:qFormat="1" w:unhideWhenUsed="0" w:uiPriority="99"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iPriority="0" w:name="List Bullet 5"/>
    <w:lsdException w:uiPriority="0" w:name="List Number 2"/>
    <w:lsdException w:uiPriority="0" w:name="List Number 3"/>
    <w:lsdException w:uiPriority="0" w:name="List Number 4"/>
    <w:lsdException w:qFormat="1" w:unhideWhenUsed="0" w:uiPriority="0"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iPriority="99" w:semiHidden="0" w:name="Hyperlink"/>
    <w:lsdException w:qFormat="1" w:unhideWhenUsed="0" w:uiPriority="0" w:semiHidden="0" w:name="FollowedHyperlink"/>
    <w:lsdException w:qFormat="1" w:unhideWhenUsed="0" w:uiPriority="0"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lang w:val="en-US" w:eastAsia="zh-CN" w:bidi="ar-SA"/>
    </w:rPr>
  </w:style>
  <w:style w:type="paragraph" w:styleId="2">
    <w:name w:val="heading 1"/>
    <w:basedOn w:val="1"/>
    <w:next w:val="1"/>
    <w:link w:val="82"/>
    <w:qFormat/>
    <w:uiPriority w:val="0"/>
    <w:pPr>
      <w:keepNext/>
      <w:keepLines/>
      <w:spacing w:before="340" w:after="330" w:line="576" w:lineRule="auto"/>
      <w:outlineLvl w:val="0"/>
    </w:pPr>
    <w:rPr>
      <w:b/>
      <w:kern w:val="44"/>
      <w:sz w:val="44"/>
    </w:rPr>
  </w:style>
  <w:style w:type="paragraph" w:styleId="3">
    <w:name w:val="heading 2"/>
    <w:basedOn w:val="1"/>
    <w:next w:val="1"/>
    <w:link w:val="83"/>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84"/>
    <w:qFormat/>
    <w:uiPriority w:val="0"/>
    <w:pPr>
      <w:keepNext/>
      <w:keepLines/>
      <w:spacing w:before="260" w:after="260" w:line="416" w:lineRule="auto"/>
      <w:outlineLvl w:val="2"/>
    </w:pPr>
    <w:rPr>
      <w:b/>
      <w:bCs/>
      <w:sz w:val="32"/>
      <w:szCs w:val="32"/>
    </w:rPr>
  </w:style>
  <w:style w:type="paragraph" w:styleId="5">
    <w:name w:val="heading 4"/>
    <w:basedOn w:val="1"/>
    <w:next w:val="1"/>
    <w:link w:val="190"/>
    <w:qFormat/>
    <w:uiPriority w:val="0"/>
    <w:pPr>
      <w:keepNext/>
      <w:keepLines/>
      <w:spacing w:before="280" w:after="290" w:line="376" w:lineRule="auto"/>
      <w:outlineLvl w:val="3"/>
    </w:pPr>
    <w:rPr>
      <w:rFonts w:ascii="Cambria" w:hAnsi="Cambria"/>
      <w:b/>
      <w:bCs/>
      <w:sz w:val="28"/>
      <w:szCs w:val="28"/>
    </w:rPr>
  </w:style>
  <w:style w:type="paragraph" w:styleId="6">
    <w:name w:val="heading 5"/>
    <w:basedOn w:val="1"/>
    <w:next w:val="1"/>
    <w:link w:val="112"/>
    <w:qFormat/>
    <w:uiPriority w:val="0"/>
    <w:pPr>
      <w:keepNext/>
      <w:keepLines/>
      <w:widowControl w:val="0"/>
      <w:spacing w:before="280" w:after="290" w:line="376" w:lineRule="auto"/>
      <w:ind w:left="1008" w:hanging="1008"/>
      <w:outlineLvl w:val="4"/>
    </w:pPr>
    <w:rPr>
      <w:rFonts w:ascii="Calibri" w:hAnsi="Calibri" w:eastAsia="仿宋"/>
      <w:b/>
      <w:bCs/>
      <w:sz w:val="28"/>
      <w:szCs w:val="28"/>
    </w:rPr>
  </w:style>
  <w:style w:type="paragraph" w:styleId="7">
    <w:name w:val="heading 6"/>
    <w:basedOn w:val="1"/>
    <w:next w:val="1"/>
    <w:link w:val="113"/>
    <w:qFormat/>
    <w:uiPriority w:val="0"/>
    <w:pPr>
      <w:keepNext/>
      <w:keepLines/>
      <w:widowControl w:val="0"/>
      <w:spacing w:before="240" w:after="64" w:line="320" w:lineRule="auto"/>
      <w:ind w:left="1152" w:hanging="1152"/>
      <w:outlineLvl w:val="5"/>
    </w:pPr>
    <w:rPr>
      <w:rFonts w:ascii="Cambria" w:hAnsi="Cambria" w:eastAsia="仿宋_GB2312"/>
      <w:b/>
      <w:bCs/>
      <w:sz w:val="24"/>
      <w:szCs w:val="24"/>
    </w:rPr>
  </w:style>
  <w:style w:type="paragraph" w:styleId="8">
    <w:name w:val="heading 7"/>
    <w:basedOn w:val="1"/>
    <w:next w:val="1"/>
    <w:link w:val="114"/>
    <w:qFormat/>
    <w:uiPriority w:val="0"/>
    <w:pPr>
      <w:keepNext/>
      <w:keepLines/>
      <w:widowControl w:val="0"/>
      <w:spacing w:before="240" w:after="64" w:line="320" w:lineRule="auto"/>
      <w:ind w:left="1296" w:hanging="1296"/>
      <w:outlineLvl w:val="6"/>
    </w:pPr>
    <w:rPr>
      <w:rFonts w:ascii="Calibri" w:hAnsi="Calibri" w:eastAsia="仿宋"/>
      <w:b/>
      <w:bCs/>
      <w:sz w:val="24"/>
      <w:szCs w:val="24"/>
    </w:rPr>
  </w:style>
  <w:style w:type="paragraph" w:styleId="9">
    <w:name w:val="heading 8"/>
    <w:basedOn w:val="1"/>
    <w:next w:val="1"/>
    <w:link w:val="115"/>
    <w:qFormat/>
    <w:uiPriority w:val="0"/>
    <w:pPr>
      <w:keepNext/>
      <w:keepLines/>
      <w:widowControl w:val="0"/>
      <w:spacing w:before="240" w:after="64" w:line="320" w:lineRule="auto"/>
      <w:ind w:left="1440" w:hanging="1440"/>
      <w:outlineLvl w:val="7"/>
    </w:pPr>
    <w:rPr>
      <w:rFonts w:ascii="Cambria" w:hAnsi="Cambria" w:eastAsia="仿宋_GB2312"/>
      <w:sz w:val="24"/>
      <w:szCs w:val="24"/>
    </w:rPr>
  </w:style>
  <w:style w:type="paragraph" w:styleId="10">
    <w:name w:val="heading 9"/>
    <w:basedOn w:val="1"/>
    <w:next w:val="1"/>
    <w:link w:val="116"/>
    <w:qFormat/>
    <w:uiPriority w:val="0"/>
    <w:pPr>
      <w:keepNext/>
      <w:keepLines/>
      <w:widowControl w:val="0"/>
      <w:spacing w:before="240" w:after="64" w:line="320" w:lineRule="auto"/>
      <w:ind w:left="1584" w:hanging="1584"/>
      <w:outlineLvl w:val="8"/>
    </w:pPr>
    <w:rPr>
      <w:rFonts w:ascii="Cambria" w:hAnsi="Cambria" w:eastAsia="仿宋_GB2312"/>
      <w:sz w:val="28"/>
      <w:szCs w:val="21"/>
    </w:rPr>
  </w:style>
  <w:style w:type="character" w:default="1" w:styleId="70">
    <w:name w:val="Default Paragraph Font"/>
    <w:semiHidden/>
    <w:unhideWhenUsed/>
    <w:qFormat/>
    <w:uiPriority w:val="1"/>
  </w:style>
  <w:style w:type="table" w:default="1" w:styleId="68">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val="0"/>
      <w:ind w:left="100" w:leftChars="400" w:hanging="200" w:hangingChars="200"/>
    </w:pPr>
    <w:rPr>
      <w:rFonts w:eastAsia="仿宋_GB2312"/>
      <w:sz w:val="24"/>
      <w:szCs w:val="24"/>
    </w:rPr>
  </w:style>
  <w:style w:type="paragraph" w:styleId="12">
    <w:name w:val="toc 7"/>
    <w:basedOn w:val="1"/>
    <w:next w:val="1"/>
    <w:qFormat/>
    <w:uiPriority w:val="99"/>
    <w:pPr>
      <w:widowControl w:val="0"/>
      <w:ind w:left="2520" w:leftChars="1200"/>
    </w:pPr>
  </w:style>
  <w:style w:type="paragraph" w:styleId="13">
    <w:name w:val="Note Heading"/>
    <w:basedOn w:val="1"/>
    <w:next w:val="1"/>
    <w:link w:val="124"/>
    <w:qFormat/>
    <w:uiPriority w:val="0"/>
    <w:pPr>
      <w:widowControl w:val="0"/>
      <w:jc w:val="center"/>
    </w:pPr>
    <w:rPr>
      <w:rFonts w:eastAsia="仿宋_GB2312" w:cstheme="minorBidi"/>
      <w:sz w:val="24"/>
      <w:szCs w:val="24"/>
    </w:rPr>
  </w:style>
  <w:style w:type="paragraph" w:styleId="14">
    <w:name w:val="List Bullet 4"/>
    <w:basedOn w:val="1"/>
    <w:qFormat/>
    <w:uiPriority w:val="0"/>
    <w:pPr>
      <w:widowControl w:val="0"/>
      <w:tabs>
        <w:tab w:val="left" w:pos="425"/>
      </w:tabs>
      <w:ind w:left="425" w:hanging="425"/>
    </w:pPr>
    <w:rPr>
      <w:rFonts w:eastAsia="仿宋_GB2312"/>
      <w:sz w:val="24"/>
      <w:szCs w:val="24"/>
    </w:rPr>
  </w:style>
  <w:style w:type="paragraph" w:styleId="15">
    <w:name w:val="index 8"/>
    <w:basedOn w:val="1"/>
    <w:next w:val="1"/>
    <w:uiPriority w:val="99"/>
    <w:pPr>
      <w:widowControl w:val="0"/>
      <w:spacing w:line="360" w:lineRule="auto"/>
      <w:ind w:left="1400" w:leftChars="1400" w:firstLine="200" w:firstLineChars="200"/>
    </w:pPr>
    <w:rPr>
      <w:sz w:val="24"/>
      <w:szCs w:val="24"/>
    </w:rPr>
  </w:style>
  <w:style w:type="paragraph" w:styleId="16">
    <w:name w:val="Normal Indent"/>
    <w:basedOn w:val="1"/>
    <w:link w:val="223"/>
    <w:qFormat/>
    <w:uiPriority w:val="99"/>
    <w:pPr>
      <w:widowControl w:val="0"/>
      <w:numPr>
        <w:ilvl w:val="0"/>
        <w:numId w:val="1"/>
      </w:numPr>
      <w:tabs>
        <w:tab w:val="clear" w:pos="567"/>
      </w:tabs>
      <w:autoSpaceDE w:val="0"/>
      <w:autoSpaceDN w:val="0"/>
      <w:adjustRightInd w:val="0"/>
      <w:ind w:firstLine="420"/>
      <w:jc w:val="left"/>
      <w:textAlignment w:val="baseline"/>
    </w:pPr>
    <w:rPr>
      <w:rFonts w:ascii="宋体"/>
      <w:kern w:val="0"/>
      <w:sz w:val="34"/>
    </w:rPr>
  </w:style>
  <w:style w:type="paragraph" w:styleId="17">
    <w:name w:val="caption"/>
    <w:basedOn w:val="1"/>
    <w:next w:val="1"/>
    <w:link w:val="169"/>
    <w:qFormat/>
    <w:uiPriority w:val="0"/>
    <w:pPr>
      <w:keepNext/>
      <w:widowControl w:val="0"/>
      <w:spacing w:line="360" w:lineRule="auto"/>
      <w:jc w:val="center"/>
    </w:pPr>
    <w:rPr>
      <w:rFonts w:ascii="黑体" w:hAnsi="宋体" w:eastAsia="黑体" w:cstheme="minorBidi"/>
      <w:sz w:val="24"/>
      <w:szCs w:val="24"/>
    </w:rPr>
  </w:style>
  <w:style w:type="paragraph" w:styleId="18">
    <w:name w:val="index 5"/>
    <w:basedOn w:val="1"/>
    <w:next w:val="1"/>
    <w:qFormat/>
    <w:uiPriority w:val="99"/>
    <w:pPr>
      <w:widowControl w:val="0"/>
      <w:spacing w:line="360" w:lineRule="auto"/>
      <w:ind w:left="800" w:leftChars="800" w:firstLine="200" w:firstLineChars="200"/>
    </w:pPr>
    <w:rPr>
      <w:sz w:val="24"/>
      <w:szCs w:val="24"/>
    </w:rPr>
  </w:style>
  <w:style w:type="paragraph" w:styleId="19">
    <w:name w:val="List Bullet"/>
    <w:basedOn w:val="1"/>
    <w:qFormat/>
    <w:uiPriority w:val="0"/>
    <w:pPr>
      <w:widowControl w:val="0"/>
      <w:tabs>
        <w:tab w:val="left" w:pos="357"/>
      </w:tabs>
      <w:ind w:left="357" w:hanging="357"/>
    </w:pPr>
    <w:rPr>
      <w:kern w:val="0"/>
      <w:sz w:val="24"/>
      <w:szCs w:val="24"/>
      <w:lang w:val="en-GB" w:eastAsia="en-US"/>
    </w:rPr>
  </w:style>
  <w:style w:type="paragraph" w:styleId="20">
    <w:name w:val="Document Map"/>
    <w:basedOn w:val="1"/>
    <w:link w:val="81"/>
    <w:qFormat/>
    <w:uiPriority w:val="99"/>
    <w:rPr>
      <w:rFonts w:ascii="宋体"/>
      <w:sz w:val="18"/>
      <w:szCs w:val="18"/>
    </w:rPr>
  </w:style>
  <w:style w:type="paragraph" w:styleId="21">
    <w:name w:val="toa heading"/>
    <w:basedOn w:val="1"/>
    <w:next w:val="1"/>
    <w:qFormat/>
    <w:uiPriority w:val="99"/>
    <w:pPr>
      <w:widowControl w:val="0"/>
      <w:spacing w:before="120" w:line="360" w:lineRule="auto"/>
      <w:ind w:left="200" w:leftChars="200" w:firstLine="200" w:firstLineChars="200"/>
    </w:pPr>
    <w:rPr>
      <w:rFonts w:ascii="Arial" w:hAnsi="Arial"/>
      <w:sz w:val="24"/>
      <w:szCs w:val="24"/>
    </w:rPr>
  </w:style>
  <w:style w:type="paragraph" w:styleId="22">
    <w:name w:val="annotation text"/>
    <w:basedOn w:val="1"/>
    <w:link w:val="107"/>
    <w:qFormat/>
    <w:uiPriority w:val="0"/>
    <w:pPr>
      <w:widowControl w:val="0"/>
      <w:tabs>
        <w:tab w:val="left" w:pos="1500"/>
      </w:tabs>
      <w:autoSpaceDE w:val="0"/>
      <w:autoSpaceDN w:val="0"/>
      <w:adjustRightInd w:val="0"/>
    </w:pPr>
  </w:style>
  <w:style w:type="paragraph" w:styleId="23">
    <w:name w:val="index 6"/>
    <w:basedOn w:val="1"/>
    <w:next w:val="1"/>
    <w:qFormat/>
    <w:uiPriority w:val="99"/>
    <w:pPr>
      <w:widowControl w:val="0"/>
      <w:spacing w:line="360" w:lineRule="auto"/>
      <w:ind w:left="1000" w:leftChars="1000" w:firstLine="200" w:firstLineChars="200"/>
    </w:pPr>
    <w:rPr>
      <w:sz w:val="24"/>
      <w:szCs w:val="24"/>
    </w:rPr>
  </w:style>
  <w:style w:type="paragraph" w:styleId="24">
    <w:name w:val="Body Text 3"/>
    <w:basedOn w:val="1"/>
    <w:link w:val="134"/>
    <w:qFormat/>
    <w:uiPriority w:val="99"/>
    <w:pPr>
      <w:widowControl w:val="0"/>
      <w:tabs>
        <w:tab w:val="left" w:pos="1500"/>
      </w:tabs>
      <w:autoSpaceDE w:val="0"/>
      <w:autoSpaceDN w:val="0"/>
      <w:adjustRightInd w:val="0"/>
    </w:pPr>
    <w:rPr>
      <w:rFonts w:eastAsia="仿宋_GB2312" w:cstheme="minorBidi"/>
      <w:sz w:val="24"/>
      <w:szCs w:val="24"/>
    </w:rPr>
  </w:style>
  <w:style w:type="paragraph" w:styleId="25">
    <w:name w:val="List Bullet 3"/>
    <w:basedOn w:val="1"/>
    <w:qFormat/>
    <w:uiPriority w:val="0"/>
    <w:pPr>
      <w:widowControl w:val="0"/>
      <w:ind w:left="1665" w:hanging="1185"/>
    </w:pPr>
  </w:style>
  <w:style w:type="paragraph" w:styleId="26">
    <w:name w:val="Body Text"/>
    <w:basedOn w:val="1"/>
    <w:link w:val="110"/>
    <w:unhideWhenUsed/>
    <w:qFormat/>
    <w:uiPriority w:val="0"/>
    <w:pPr>
      <w:spacing w:after="120"/>
    </w:pPr>
  </w:style>
  <w:style w:type="paragraph" w:styleId="27">
    <w:name w:val="Body Text Indent"/>
    <w:basedOn w:val="1"/>
    <w:link w:val="89"/>
    <w:qFormat/>
    <w:uiPriority w:val="99"/>
    <w:pPr>
      <w:widowControl w:val="0"/>
      <w:tabs>
        <w:tab w:val="left" w:pos="1120"/>
      </w:tabs>
      <w:spacing w:line="400" w:lineRule="atLeast"/>
      <w:ind w:firstLine="560"/>
      <w:jc w:val="left"/>
    </w:pPr>
    <w:rPr>
      <w:sz w:val="24"/>
    </w:rPr>
  </w:style>
  <w:style w:type="paragraph" w:styleId="28">
    <w:name w:val="List 2"/>
    <w:basedOn w:val="1"/>
    <w:qFormat/>
    <w:uiPriority w:val="0"/>
    <w:pPr>
      <w:widowControl w:val="0"/>
      <w:tabs>
        <w:tab w:val="left" w:pos="1500"/>
      </w:tabs>
      <w:autoSpaceDE w:val="0"/>
      <w:autoSpaceDN w:val="0"/>
      <w:adjustRightInd w:val="0"/>
      <w:spacing w:line="360" w:lineRule="auto"/>
      <w:ind w:left="100" w:leftChars="200" w:hanging="200" w:hangingChars="200"/>
    </w:pPr>
    <w:rPr>
      <w:rFonts w:eastAsia="仿宋_GB2312"/>
      <w:sz w:val="24"/>
      <w:szCs w:val="24"/>
    </w:rPr>
  </w:style>
  <w:style w:type="paragraph" w:styleId="29">
    <w:name w:val="Block Text"/>
    <w:basedOn w:val="1"/>
    <w:qFormat/>
    <w:uiPriority w:val="99"/>
    <w:pPr>
      <w:widowControl w:val="0"/>
      <w:spacing w:after="120" w:line="360" w:lineRule="auto"/>
      <w:ind w:left="1440" w:leftChars="700" w:right="1440" w:rightChars="700" w:firstLine="200" w:firstLineChars="200"/>
    </w:pPr>
    <w:rPr>
      <w:sz w:val="24"/>
      <w:szCs w:val="24"/>
    </w:rPr>
  </w:style>
  <w:style w:type="paragraph" w:styleId="30">
    <w:name w:val="List Bullet 2"/>
    <w:basedOn w:val="1"/>
    <w:qFormat/>
    <w:uiPriority w:val="0"/>
    <w:pPr>
      <w:widowControl w:val="0"/>
      <w:tabs>
        <w:tab w:val="left" w:pos="780"/>
      </w:tabs>
      <w:ind w:left="780" w:leftChars="200" w:hanging="360"/>
    </w:pPr>
    <w:rPr>
      <w:rFonts w:eastAsia="仿宋_GB2312"/>
      <w:sz w:val="24"/>
      <w:szCs w:val="24"/>
    </w:rPr>
  </w:style>
  <w:style w:type="paragraph" w:styleId="31">
    <w:name w:val="index 4"/>
    <w:basedOn w:val="1"/>
    <w:next w:val="1"/>
    <w:qFormat/>
    <w:uiPriority w:val="99"/>
    <w:pPr>
      <w:widowControl w:val="0"/>
      <w:spacing w:line="360" w:lineRule="auto"/>
      <w:ind w:left="600" w:leftChars="600" w:firstLine="200" w:firstLineChars="200"/>
    </w:pPr>
    <w:rPr>
      <w:sz w:val="24"/>
      <w:szCs w:val="24"/>
    </w:rPr>
  </w:style>
  <w:style w:type="paragraph" w:styleId="32">
    <w:name w:val="toc 5"/>
    <w:basedOn w:val="1"/>
    <w:next w:val="1"/>
    <w:qFormat/>
    <w:uiPriority w:val="99"/>
    <w:pPr>
      <w:widowControl w:val="0"/>
      <w:ind w:left="1680" w:leftChars="800"/>
    </w:pPr>
  </w:style>
  <w:style w:type="paragraph" w:styleId="33">
    <w:name w:val="toc 3"/>
    <w:basedOn w:val="1"/>
    <w:next w:val="1"/>
    <w:qFormat/>
    <w:uiPriority w:val="39"/>
    <w:pPr>
      <w:ind w:left="840" w:leftChars="400"/>
    </w:pPr>
  </w:style>
  <w:style w:type="paragraph" w:styleId="34">
    <w:name w:val="Plain Text"/>
    <w:basedOn w:val="1"/>
    <w:link w:val="85"/>
    <w:qFormat/>
    <w:uiPriority w:val="99"/>
    <w:rPr>
      <w:rFonts w:hAnsi="Courier New"/>
    </w:rPr>
  </w:style>
  <w:style w:type="paragraph" w:styleId="35">
    <w:name w:val="toc 8"/>
    <w:basedOn w:val="1"/>
    <w:next w:val="1"/>
    <w:qFormat/>
    <w:uiPriority w:val="99"/>
    <w:pPr>
      <w:widowControl w:val="0"/>
      <w:ind w:left="2940" w:leftChars="1400"/>
    </w:pPr>
  </w:style>
  <w:style w:type="paragraph" w:styleId="36">
    <w:name w:val="index 3"/>
    <w:basedOn w:val="1"/>
    <w:next w:val="1"/>
    <w:uiPriority w:val="99"/>
    <w:pPr>
      <w:widowControl w:val="0"/>
      <w:spacing w:line="360" w:lineRule="auto"/>
      <w:ind w:left="400" w:leftChars="400" w:firstLine="200" w:firstLineChars="200"/>
    </w:pPr>
    <w:rPr>
      <w:sz w:val="24"/>
      <w:szCs w:val="24"/>
    </w:rPr>
  </w:style>
  <w:style w:type="paragraph" w:styleId="37">
    <w:name w:val="Date"/>
    <w:basedOn w:val="1"/>
    <w:next w:val="1"/>
    <w:link w:val="86"/>
    <w:qFormat/>
    <w:uiPriority w:val="99"/>
    <w:pPr>
      <w:widowControl w:val="0"/>
    </w:pPr>
    <w:rPr>
      <w:rFonts w:ascii="宋体" w:hAnsi="Courier New"/>
    </w:rPr>
  </w:style>
  <w:style w:type="paragraph" w:styleId="38">
    <w:name w:val="Body Text Indent 2"/>
    <w:basedOn w:val="1"/>
    <w:link w:val="95"/>
    <w:qFormat/>
    <w:uiPriority w:val="99"/>
    <w:pPr>
      <w:widowControl w:val="0"/>
      <w:spacing w:after="120" w:line="480" w:lineRule="auto"/>
      <w:ind w:left="420" w:leftChars="200"/>
    </w:pPr>
  </w:style>
  <w:style w:type="paragraph" w:styleId="39">
    <w:name w:val="endnote text"/>
    <w:basedOn w:val="1"/>
    <w:link w:val="315"/>
    <w:qFormat/>
    <w:uiPriority w:val="0"/>
    <w:pPr>
      <w:widowControl w:val="0"/>
      <w:snapToGrid w:val="0"/>
      <w:jc w:val="left"/>
    </w:pPr>
    <w:rPr>
      <w:rFonts w:eastAsia="仿宋_GB2312" w:cstheme="minorBidi"/>
      <w:sz w:val="24"/>
      <w:szCs w:val="24"/>
    </w:rPr>
  </w:style>
  <w:style w:type="paragraph" w:styleId="40">
    <w:name w:val="Balloon Text"/>
    <w:basedOn w:val="1"/>
    <w:link w:val="102"/>
    <w:qFormat/>
    <w:uiPriority w:val="99"/>
    <w:pPr>
      <w:widowControl w:val="0"/>
    </w:pPr>
    <w:rPr>
      <w:sz w:val="18"/>
      <w:szCs w:val="18"/>
    </w:rPr>
  </w:style>
  <w:style w:type="paragraph" w:styleId="41">
    <w:name w:val="footer"/>
    <w:basedOn w:val="1"/>
    <w:link w:val="87"/>
    <w:qFormat/>
    <w:uiPriority w:val="0"/>
    <w:pPr>
      <w:tabs>
        <w:tab w:val="center" w:pos="4153"/>
        <w:tab w:val="right" w:pos="8306"/>
      </w:tabs>
      <w:snapToGrid w:val="0"/>
      <w:jc w:val="left"/>
    </w:pPr>
    <w:rPr>
      <w:sz w:val="18"/>
      <w:szCs w:val="18"/>
    </w:rPr>
  </w:style>
  <w:style w:type="paragraph" w:styleId="42">
    <w:name w:val="header"/>
    <w:basedOn w:val="1"/>
    <w:link w:val="88"/>
    <w:qFormat/>
    <w:uiPriority w:val="0"/>
    <w:pPr>
      <w:pBdr>
        <w:bottom w:val="single" w:color="auto" w:sz="6" w:space="1"/>
      </w:pBdr>
      <w:tabs>
        <w:tab w:val="center" w:pos="4153"/>
        <w:tab w:val="right" w:pos="8306"/>
      </w:tabs>
      <w:snapToGrid w:val="0"/>
      <w:jc w:val="center"/>
    </w:pPr>
    <w:rPr>
      <w:sz w:val="18"/>
      <w:szCs w:val="18"/>
    </w:rPr>
  </w:style>
  <w:style w:type="paragraph" w:styleId="43">
    <w:name w:val="toc 1"/>
    <w:basedOn w:val="1"/>
    <w:next w:val="1"/>
    <w:qFormat/>
    <w:uiPriority w:val="39"/>
  </w:style>
  <w:style w:type="paragraph" w:styleId="44">
    <w:name w:val="toc 4"/>
    <w:basedOn w:val="1"/>
    <w:next w:val="1"/>
    <w:qFormat/>
    <w:uiPriority w:val="99"/>
    <w:pPr>
      <w:widowControl w:val="0"/>
      <w:ind w:left="1260" w:leftChars="600"/>
    </w:pPr>
  </w:style>
  <w:style w:type="paragraph" w:styleId="45">
    <w:name w:val="index heading"/>
    <w:basedOn w:val="1"/>
    <w:next w:val="1"/>
    <w:qFormat/>
    <w:uiPriority w:val="99"/>
    <w:pPr>
      <w:widowControl w:val="0"/>
    </w:pPr>
    <w:rPr>
      <w:rFonts w:eastAsia="仿宋_GB2312"/>
      <w:sz w:val="24"/>
      <w:szCs w:val="24"/>
    </w:rPr>
  </w:style>
  <w:style w:type="paragraph" w:styleId="46">
    <w:name w:val="List Number 5"/>
    <w:basedOn w:val="1"/>
    <w:qFormat/>
    <w:uiPriority w:val="0"/>
    <w:pPr>
      <w:widowControl w:val="0"/>
      <w:tabs>
        <w:tab w:val="left" w:pos="1500"/>
        <w:tab w:val="left" w:pos="2040"/>
      </w:tabs>
      <w:autoSpaceDE w:val="0"/>
      <w:autoSpaceDN w:val="0"/>
      <w:adjustRightInd w:val="0"/>
      <w:spacing w:line="400" w:lineRule="exact"/>
      <w:ind w:left="2040" w:hanging="360"/>
    </w:pPr>
    <w:rPr>
      <w:rFonts w:eastAsia="仿宋_GB2312"/>
      <w:sz w:val="24"/>
    </w:rPr>
  </w:style>
  <w:style w:type="paragraph" w:styleId="47">
    <w:name w:val="List"/>
    <w:basedOn w:val="1"/>
    <w:qFormat/>
    <w:uiPriority w:val="99"/>
    <w:pPr>
      <w:widowControl w:val="0"/>
      <w:ind w:left="200" w:hanging="200" w:hangingChars="200"/>
    </w:pPr>
    <w:rPr>
      <w:rFonts w:eastAsia="仿宋_GB2312"/>
      <w:sz w:val="24"/>
      <w:szCs w:val="24"/>
    </w:rPr>
  </w:style>
  <w:style w:type="paragraph" w:styleId="48">
    <w:name w:val="footnote text"/>
    <w:basedOn w:val="1"/>
    <w:link w:val="170"/>
    <w:qFormat/>
    <w:uiPriority w:val="99"/>
    <w:pPr>
      <w:tabs>
        <w:tab w:val="left" w:pos="90"/>
        <w:tab w:val="left" w:pos="425"/>
        <w:tab w:val="left" w:pos="902"/>
      </w:tabs>
      <w:autoSpaceDE w:val="0"/>
      <w:autoSpaceDN w:val="0"/>
      <w:adjustRightInd w:val="0"/>
      <w:spacing w:before="120" w:after="20" w:line="160" w:lineRule="exact"/>
      <w:ind w:left="30" w:leftChars="30" w:hanging="502"/>
      <w:jc w:val="left"/>
    </w:pPr>
    <w:rPr>
      <w:rFonts w:ascii="宋体" w:hAnsi="宋体" w:eastAsia="MS Gothic" w:cstheme="minorBidi"/>
      <w:b/>
      <w:kern w:val="0"/>
      <w:sz w:val="14"/>
      <w:lang w:eastAsia="ja-JP"/>
    </w:rPr>
  </w:style>
  <w:style w:type="paragraph" w:styleId="49">
    <w:name w:val="toc 6"/>
    <w:basedOn w:val="1"/>
    <w:next w:val="1"/>
    <w:qFormat/>
    <w:uiPriority w:val="99"/>
    <w:pPr>
      <w:widowControl w:val="0"/>
      <w:ind w:left="2100" w:leftChars="1000"/>
    </w:pPr>
  </w:style>
  <w:style w:type="paragraph" w:styleId="50">
    <w:name w:val="List 5"/>
    <w:basedOn w:val="1"/>
    <w:qFormat/>
    <w:uiPriority w:val="0"/>
    <w:pPr>
      <w:widowControl w:val="0"/>
      <w:tabs>
        <w:tab w:val="left" w:pos="780"/>
      </w:tabs>
      <w:ind w:left="100" w:leftChars="800" w:hanging="200"/>
    </w:pPr>
    <w:rPr>
      <w:rFonts w:eastAsia="仿宋_GB2312"/>
      <w:sz w:val="24"/>
      <w:szCs w:val="24"/>
    </w:rPr>
  </w:style>
  <w:style w:type="paragraph" w:styleId="51">
    <w:name w:val="Body Text Indent 3"/>
    <w:basedOn w:val="1"/>
    <w:link w:val="172"/>
    <w:qFormat/>
    <w:uiPriority w:val="99"/>
    <w:pPr>
      <w:widowControl w:val="0"/>
      <w:spacing w:before="100" w:beforeAutospacing="1" w:after="100" w:afterAutospacing="1" w:line="360" w:lineRule="auto"/>
      <w:ind w:firstLine="482"/>
    </w:pPr>
    <w:rPr>
      <w:rFonts w:ascii="宋体" w:hAnsiTheme="minorHAnsi" w:eastAsiaTheme="minorEastAsia" w:cstheme="minorBidi"/>
    </w:rPr>
  </w:style>
  <w:style w:type="paragraph" w:styleId="52">
    <w:name w:val="index 7"/>
    <w:basedOn w:val="1"/>
    <w:next w:val="1"/>
    <w:uiPriority w:val="99"/>
    <w:pPr>
      <w:widowControl w:val="0"/>
      <w:spacing w:line="360" w:lineRule="auto"/>
      <w:ind w:left="1200" w:leftChars="1200" w:firstLine="200" w:firstLineChars="200"/>
    </w:pPr>
    <w:rPr>
      <w:sz w:val="24"/>
      <w:szCs w:val="24"/>
    </w:rPr>
  </w:style>
  <w:style w:type="paragraph" w:styleId="53">
    <w:name w:val="index 9"/>
    <w:basedOn w:val="1"/>
    <w:next w:val="1"/>
    <w:uiPriority w:val="99"/>
    <w:pPr>
      <w:widowControl w:val="0"/>
      <w:spacing w:line="360" w:lineRule="auto"/>
      <w:ind w:left="1600" w:leftChars="1600" w:firstLine="200" w:firstLineChars="200"/>
    </w:pPr>
    <w:rPr>
      <w:sz w:val="24"/>
      <w:szCs w:val="24"/>
    </w:rPr>
  </w:style>
  <w:style w:type="paragraph" w:styleId="54">
    <w:name w:val="table of figures"/>
    <w:basedOn w:val="1"/>
    <w:next w:val="1"/>
    <w:qFormat/>
    <w:uiPriority w:val="99"/>
    <w:pPr>
      <w:widowControl w:val="0"/>
      <w:spacing w:line="360" w:lineRule="auto"/>
      <w:ind w:left="200" w:leftChars="200" w:hanging="200" w:hangingChars="200"/>
      <w:jc w:val="left"/>
    </w:pPr>
    <w:rPr>
      <w:rFonts w:eastAsia="仿宋_GB2312"/>
      <w:sz w:val="28"/>
      <w:szCs w:val="24"/>
    </w:rPr>
  </w:style>
  <w:style w:type="paragraph" w:styleId="55">
    <w:name w:val="toc 2"/>
    <w:basedOn w:val="1"/>
    <w:next w:val="1"/>
    <w:qFormat/>
    <w:uiPriority w:val="39"/>
    <w:pPr>
      <w:ind w:left="420" w:leftChars="200"/>
    </w:pPr>
  </w:style>
  <w:style w:type="paragraph" w:styleId="56">
    <w:name w:val="toc 9"/>
    <w:basedOn w:val="1"/>
    <w:next w:val="1"/>
    <w:qFormat/>
    <w:uiPriority w:val="99"/>
    <w:pPr>
      <w:widowControl w:val="0"/>
      <w:ind w:left="3360" w:leftChars="1600"/>
    </w:pPr>
  </w:style>
  <w:style w:type="paragraph" w:styleId="57">
    <w:name w:val="Body Text 2"/>
    <w:basedOn w:val="1"/>
    <w:link w:val="193"/>
    <w:qFormat/>
    <w:uiPriority w:val="99"/>
    <w:pPr>
      <w:widowControl w:val="0"/>
      <w:adjustRightInd w:val="0"/>
      <w:snapToGrid w:val="0"/>
    </w:pPr>
    <w:rPr>
      <w:rFonts w:eastAsia="仿宋_GB2312" w:asciiTheme="minorHAnsi" w:hAnsiTheme="minorHAnsi" w:cstheme="minorBidi"/>
      <w:szCs w:val="18"/>
    </w:rPr>
  </w:style>
  <w:style w:type="paragraph" w:styleId="58">
    <w:name w:val="List 4"/>
    <w:basedOn w:val="1"/>
    <w:qFormat/>
    <w:uiPriority w:val="0"/>
    <w:pPr>
      <w:widowControl w:val="0"/>
      <w:ind w:left="100" w:leftChars="600" w:hanging="200" w:hangingChars="200"/>
    </w:pPr>
    <w:rPr>
      <w:rFonts w:eastAsia="仿宋_GB2312"/>
      <w:sz w:val="24"/>
      <w:szCs w:val="24"/>
    </w:rPr>
  </w:style>
  <w:style w:type="paragraph" w:styleId="59">
    <w:name w:val="List Continue 2"/>
    <w:basedOn w:val="1"/>
    <w:qFormat/>
    <w:uiPriority w:val="0"/>
    <w:pPr>
      <w:widowControl w:val="0"/>
      <w:spacing w:after="120"/>
      <w:ind w:left="840"/>
    </w:pPr>
  </w:style>
  <w:style w:type="paragraph" w:styleId="60">
    <w:name w:val="HTML Preformatted"/>
    <w:basedOn w:val="1"/>
    <w:link w:val="214"/>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eastAsiaTheme="minorEastAsia" w:cstheme="minorBidi"/>
      <w:kern w:val="0"/>
      <w:sz w:val="24"/>
      <w:szCs w:val="24"/>
    </w:rPr>
  </w:style>
  <w:style w:type="paragraph" w:styleId="61">
    <w:name w:val="Normal (Web)"/>
    <w:basedOn w:val="1"/>
    <w:qFormat/>
    <w:uiPriority w:val="99"/>
    <w:pPr>
      <w:spacing w:before="100" w:beforeAutospacing="1" w:after="100" w:afterAutospacing="1"/>
      <w:jc w:val="left"/>
    </w:pPr>
    <w:rPr>
      <w:rFonts w:ascii="宋体" w:hAnsi="宋体" w:cs="宋体"/>
      <w:kern w:val="0"/>
      <w:sz w:val="24"/>
      <w:szCs w:val="24"/>
    </w:rPr>
  </w:style>
  <w:style w:type="paragraph" w:styleId="62">
    <w:name w:val="index 1"/>
    <w:basedOn w:val="1"/>
    <w:next w:val="1"/>
    <w:qFormat/>
    <w:uiPriority w:val="99"/>
    <w:pPr>
      <w:widowControl w:val="0"/>
    </w:pPr>
    <w:rPr>
      <w:rFonts w:eastAsia="仿宋_GB2312"/>
      <w:sz w:val="24"/>
      <w:szCs w:val="24"/>
    </w:rPr>
  </w:style>
  <w:style w:type="paragraph" w:styleId="63">
    <w:name w:val="index 2"/>
    <w:basedOn w:val="1"/>
    <w:next w:val="1"/>
    <w:uiPriority w:val="99"/>
    <w:pPr>
      <w:widowControl w:val="0"/>
      <w:spacing w:line="360" w:lineRule="auto"/>
      <w:ind w:left="200" w:leftChars="200" w:firstLine="200" w:firstLineChars="200"/>
    </w:pPr>
    <w:rPr>
      <w:sz w:val="24"/>
      <w:szCs w:val="24"/>
    </w:rPr>
  </w:style>
  <w:style w:type="paragraph" w:styleId="64">
    <w:name w:val="Title"/>
    <w:basedOn w:val="1"/>
    <w:link w:val="317"/>
    <w:qFormat/>
    <w:uiPriority w:val="99"/>
    <w:pPr>
      <w:tabs>
        <w:tab w:val="left" w:pos="0"/>
        <w:tab w:val="left" w:pos="1500"/>
      </w:tabs>
      <w:overflowPunct w:val="0"/>
      <w:autoSpaceDE w:val="0"/>
      <w:autoSpaceDN w:val="0"/>
      <w:adjustRightInd w:val="0"/>
      <w:spacing w:before="300" w:after="300"/>
      <w:jc w:val="center"/>
      <w:textAlignment w:val="baseline"/>
    </w:pPr>
    <w:rPr>
      <w:rFonts w:ascii="Arial" w:hAnsi="Arial" w:eastAsia="仿宋_GB2312" w:cstheme="minorBidi"/>
      <w:kern w:val="0"/>
      <w:sz w:val="30"/>
    </w:rPr>
  </w:style>
  <w:style w:type="paragraph" w:styleId="65">
    <w:name w:val="annotation subject"/>
    <w:basedOn w:val="22"/>
    <w:next w:val="22"/>
    <w:link w:val="108"/>
    <w:qFormat/>
    <w:uiPriority w:val="99"/>
    <w:pPr>
      <w:autoSpaceDE/>
      <w:autoSpaceDN/>
      <w:adjustRightInd/>
      <w:jc w:val="left"/>
    </w:pPr>
    <w:rPr>
      <w:b/>
      <w:bCs/>
    </w:rPr>
  </w:style>
  <w:style w:type="paragraph" w:styleId="66">
    <w:name w:val="Body Text First Indent"/>
    <w:basedOn w:val="26"/>
    <w:link w:val="111"/>
    <w:qFormat/>
    <w:uiPriority w:val="99"/>
    <w:pPr>
      <w:ind w:firstLine="420" w:firstLineChars="100"/>
    </w:pPr>
  </w:style>
  <w:style w:type="paragraph" w:styleId="67">
    <w:name w:val="Body Text First Indent 2"/>
    <w:basedOn w:val="27"/>
    <w:link w:val="234"/>
    <w:qFormat/>
    <w:uiPriority w:val="99"/>
    <w:pPr>
      <w:tabs>
        <w:tab w:val="clear" w:pos="1120"/>
      </w:tabs>
      <w:spacing w:after="120" w:line="240" w:lineRule="auto"/>
      <w:ind w:left="420" w:leftChars="200" w:firstLine="420" w:firstLineChars="200"/>
      <w:jc w:val="both"/>
    </w:pPr>
    <w:rPr>
      <w:rFonts w:ascii="仿宋_GB2312" w:eastAsia="仿宋_GB2312" w:cstheme="minorBidi"/>
      <w:sz w:val="21"/>
      <w:szCs w:val="24"/>
    </w:rPr>
  </w:style>
  <w:style w:type="table" w:styleId="69">
    <w:name w:val="Table Grid"/>
    <w:basedOn w:val="6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1">
    <w:name w:val="Strong"/>
    <w:qFormat/>
    <w:uiPriority w:val="0"/>
    <w:rPr>
      <w:b/>
      <w:bCs/>
    </w:rPr>
  </w:style>
  <w:style w:type="character" w:styleId="72">
    <w:name w:val="endnote reference"/>
    <w:qFormat/>
    <w:uiPriority w:val="0"/>
    <w:rPr>
      <w:vertAlign w:val="superscript"/>
    </w:rPr>
  </w:style>
  <w:style w:type="character" w:styleId="73">
    <w:name w:val="page number"/>
    <w:basedOn w:val="70"/>
    <w:qFormat/>
    <w:uiPriority w:val="0"/>
  </w:style>
  <w:style w:type="character" w:styleId="74">
    <w:name w:val="FollowedHyperlink"/>
    <w:qFormat/>
    <w:uiPriority w:val="0"/>
    <w:rPr>
      <w:color w:val="800080"/>
      <w:u w:val="single"/>
    </w:rPr>
  </w:style>
  <w:style w:type="character" w:styleId="75">
    <w:name w:val="Emphasis"/>
    <w:qFormat/>
    <w:uiPriority w:val="99"/>
  </w:style>
  <w:style w:type="character" w:styleId="76">
    <w:name w:val="Hyperlink"/>
    <w:basedOn w:val="70"/>
    <w:unhideWhenUsed/>
    <w:qFormat/>
    <w:uiPriority w:val="99"/>
    <w:rPr>
      <w:color w:val="0000FF"/>
      <w:u w:val="single"/>
    </w:rPr>
  </w:style>
  <w:style w:type="character" w:styleId="77">
    <w:name w:val="annotation reference"/>
    <w:qFormat/>
    <w:uiPriority w:val="0"/>
    <w:rPr>
      <w:sz w:val="21"/>
      <w:szCs w:val="21"/>
    </w:rPr>
  </w:style>
  <w:style w:type="character" w:styleId="78">
    <w:name w:val="footnote reference"/>
    <w:qFormat/>
    <w:uiPriority w:val="0"/>
    <w:rPr>
      <w:vertAlign w:val="superscript"/>
    </w:rPr>
  </w:style>
  <w:style w:type="character" w:styleId="79">
    <w:name w:val="HTML Sample"/>
    <w:qFormat/>
    <w:uiPriority w:val="0"/>
    <w:rPr>
      <w:rFonts w:ascii="Courier New" w:hAnsi="Courier New" w:cs="Courier New"/>
    </w:rPr>
  </w:style>
  <w:style w:type="paragraph" w:customStyle="1" w:styleId="80">
    <w:name w:val="bf"/>
    <w:basedOn w:val="1"/>
    <w:qFormat/>
    <w:uiPriority w:val="0"/>
    <w:pPr>
      <w:widowControl w:val="0"/>
      <w:autoSpaceDE w:val="0"/>
      <w:autoSpaceDN w:val="0"/>
      <w:adjustRightInd w:val="0"/>
      <w:spacing w:beforeLines="50" w:afterLines="50" w:line="400" w:lineRule="atLeast"/>
      <w:ind w:left="1134" w:hanging="1134"/>
      <w:jc w:val="left"/>
    </w:pPr>
    <w:rPr>
      <w:rFonts w:ascii="Arial" w:hAnsi="Arial" w:cs="Arial"/>
      <w:b/>
      <w:color w:val="000000"/>
      <w:spacing w:val="10"/>
      <w:kern w:val="0"/>
      <w:sz w:val="32"/>
      <w:szCs w:val="24"/>
    </w:rPr>
  </w:style>
  <w:style w:type="character" w:customStyle="1" w:styleId="81">
    <w:name w:val="文档结构图 Char"/>
    <w:basedOn w:val="70"/>
    <w:link w:val="20"/>
    <w:qFormat/>
    <w:uiPriority w:val="99"/>
    <w:rPr>
      <w:rFonts w:ascii="宋体"/>
      <w:kern w:val="2"/>
      <w:sz w:val="18"/>
      <w:szCs w:val="18"/>
    </w:rPr>
  </w:style>
  <w:style w:type="character" w:customStyle="1" w:styleId="82">
    <w:name w:val="标题 1 Char"/>
    <w:basedOn w:val="70"/>
    <w:link w:val="2"/>
    <w:qFormat/>
    <w:uiPriority w:val="9"/>
    <w:rPr>
      <w:b/>
      <w:kern w:val="44"/>
      <w:sz w:val="44"/>
    </w:rPr>
  </w:style>
  <w:style w:type="character" w:customStyle="1" w:styleId="83">
    <w:name w:val="标题 2 Char"/>
    <w:basedOn w:val="70"/>
    <w:link w:val="3"/>
    <w:qFormat/>
    <w:uiPriority w:val="0"/>
    <w:rPr>
      <w:rFonts w:ascii="Cambria" w:hAnsi="Cambria"/>
      <w:b/>
      <w:bCs/>
      <w:kern w:val="2"/>
      <w:sz w:val="32"/>
      <w:szCs w:val="32"/>
    </w:rPr>
  </w:style>
  <w:style w:type="character" w:customStyle="1" w:styleId="84">
    <w:name w:val="标题 3 Char"/>
    <w:basedOn w:val="70"/>
    <w:link w:val="4"/>
    <w:qFormat/>
    <w:uiPriority w:val="0"/>
    <w:rPr>
      <w:b/>
      <w:bCs/>
      <w:kern w:val="2"/>
      <w:sz w:val="32"/>
      <w:szCs w:val="32"/>
    </w:rPr>
  </w:style>
  <w:style w:type="character" w:customStyle="1" w:styleId="85">
    <w:name w:val="纯文本 Char"/>
    <w:basedOn w:val="70"/>
    <w:link w:val="34"/>
    <w:qFormat/>
    <w:uiPriority w:val="99"/>
    <w:rPr>
      <w:rFonts w:hAnsi="Courier New"/>
      <w:kern w:val="2"/>
      <w:sz w:val="21"/>
    </w:rPr>
  </w:style>
  <w:style w:type="character" w:customStyle="1" w:styleId="86">
    <w:name w:val="日期 Char"/>
    <w:basedOn w:val="70"/>
    <w:link w:val="37"/>
    <w:qFormat/>
    <w:uiPriority w:val="99"/>
    <w:rPr>
      <w:rFonts w:ascii="宋体" w:hAnsi="Courier New"/>
      <w:kern w:val="2"/>
      <w:sz w:val="21"/>
    </w:rPr>
  </w:style>
  <w:style w:type="character" w:customStyle="1" w:styleId="87">
    <w:name w:val="页脚 Char"/>
    <w:basedOn w:val="70"/>
    <w:link w:val="41"/>
    <w:qFormat/>
    <w:uiPriority w:val="0"/>
    <w:rPr>
      <w:kern w:val="2"/>
      <w:sz w:val="18"/>
      <w:szCs w:val="18"/>
    </w:rPr>
  </w:style>
  <w:style w:type="character" w:customStyle="1" w:styleId="88">
    <w:name w:val="页眉 Char"/>
    <w:basedOn w:val="70"/>
    <w:link w:val="42"/>
    <w:qFormat/>
    <w:uiPriority w:val="0"/>
    <w:rPr>
      <w:kern w:val="2"/>
      <w:sz w:val="18"/>
      <w:szCs w:val="18"/>
    </w:rPr>
  </w:style>
  <w:style w:type="character" w:customStyle="1" w:styleId="89">
    <w:name w:val="正文文本缩进 Char"/>
    <w:basedOn w:val="70"/>
    <w:link w:val="27"/>
    <w:qFormat/>
    <w:uiPriority w:val="99"/>
    <w:rPr>
      <w:kern w:val="2"/>
      <w:sz w:val="24"/>
    </w:rPr>
  </w:style>
  <w:style w:type="paragraph" w:customStyle="1" w:styleId="90">
    <w:name w:val="默认段落字体 Para Char Char Char Char"/>
    <w:basedOn w:val="1"/>
    <w:qFormat/>
    <w:uiPriority w:val="99"/>
    <w:pPr>
      <w:widowControl w:val="0"/>
    </w:pPr>
    <w:rPr>
      <w:szCs w:val="21"/>
    </w:rPr>
  </w:style>
  <w:style w:type="paragraph" w:customStyle="1" w:styleId="91">
    <w:name w:val="Char"/>
    <w:basedOn w:val="1"/>
    <w:qFormat/>
    <w:uiPriority w:val="0"/>
    <w:pPr>
      <w:widowControl w:val="0"/>
    </w:pPr>
    <w:rPr>
      <w:szCs w:val="24"/>
    </w:rPr>
  </w:style>
  <w:style w:type="paragraph" w:customStyle="1" w:styleId="92">
    <w:name w:val="Char Char Char Char Char Char Char"/>
    <w:basedOn w:val="1"/>
    <w:qFormat/>
    <w:uiPriority w:val="0"/>
    <w:pPr>
      <w:widowControl w:val="0"/>
    </w:pPr>
    <w:rPr>
      <w:szCs w:val="24"/>
    </w:rPr>
  </w:style>
  <w:style w:type="paragraph" w:customStyle="1" w:styleId="93">
    <w:name w:val="样式1"/>
    <w:basedOn w:val="1"/>
    <w:qFormat/>
    <w:uiPriority w:val="99"/>
    <w:pPr>
      <w:widowControl w:val="0"/>
      <w:adjustRightInd w:val="0"/>
      <w:spacing w:line="420" w:lineRule="auto"/>
      <w:jc w:val="center"/>
    </w:pPr>
    <w:rPr>
      <w:rFonts w:hint="eastAsia" w:ascii="宋体"/>
      <w:kern w:val="0"/>
      <w:sz w:val="24"/>
    </w:rPr>
  </w:style>
  <w:style w:type="paragraph" w:customStyle="1" w:styleId="94">
    <w:name w:val="1级标题"/>
    <w:basedOn w:val="1"/>
    <w:qFormat/>
    <w:uiPriority w:val="0"/>
    <w:pPr>
      <w:widowControl w:val="0"/>
      <w:numPr>
        <w:ilvl w:val="0"/>
        <w:numId w:val="2"/>
      </w:numPr>
      <w:spacing w:line="360" w:lineRule="auto"/>
    </w:pPr>
    <w:rPr>
      <w:rFonts w:ascii="Arial" w:hAnsi="Arial"/>
      <w:b/>
      <w:sz w:val="28"/>
      <w:szCs w:val="28"/>
    </w:rPr>
  </w:style>
  <w:style w:type="character" w:customStyle="1" w:styleId="95">
    <w:name w:val="正文文本缩进 2 Char"/>
    <w:basedOn w:val="70"/>
    <w:link w:val="38"/>
    <w:qFormat/>
    <w:uiPriority w:val="99"/>
    <w:rPr>
      <w:kern w:val="2"/>
      <w:sz w:val="21"/>
    </w:rPr>
  </w:style>
  <w:style w:type="character" w:customStyle="1" w:styleId="96">
    <w:name w:val="首行缩进 Char"/>
    <w:link w:val="97"/>
    <w:qFormat/>
    <w:uiPriority w:val="0"/>
    <w:rPr>
      <w:rFonts w:eastAsia="方正书宋简体" w:cs="宋体"/>
      <w:kern w:val="2"/>
      <w:sz w:val="21"/>
    </w:rPr>
  </w:style>
  <w:style w:type="paragraph" w:customStyle="1" w:styleId="97">
    <w:name w:val="首行缩进"/>
    <w:basedOn w:val="1"/>
    <w:link w:val="96"/>
    <w:qFormat/>
    <w:uiPriority w:val="0"/>
    <w:pPr>
      <w:widowControl w:val="0"/>
      <w:spacing w:line="300" w:lineRule="auto"/>
      <w:ind w:firstLine="420" w:firstLineChars="200"/>
    </w:pPr>
    <w:rPr>
      <w:rFonts w:eastAsia="方正书宋简体" w:cs="宋体"/>
    </w:rPr>
  </w:style>
  <w:style w:type="paragraph" w:customStyle="1" w:styleId="98">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99">
    <w:name w:val="正文1"/>
    <w:basedOn w:val="93"/>
    <w:link w:val="250"/>
    <w:qFormat/>
    <w:uiPriority w:val="99"/>
    <w:pPr>
      <w:tabs>
        <w:tab w:val="left" w:pos="2160"/>
      </w:tabs>
      <w:spacing w:line="490" w:lineRule="exact"/>
      <w:textAlignment w:val="baseline"/>
    </w:pPr>
    <w:rPr>
      <w:rFonts w:hint="default" w:ascii="仿宋_GB2312" w:eastAsia="仿宋_GB2312"/>
      <w:sz w:val="34"/>
    </w:rPr>
  </w:style>
  <w:style w:type="character" w:customStyle="1" w:styleId="100">
    <w:name w:val="表格图片标题样式 Char"/>
    <w:link w:val="101"/>
    <w:qFormat/>
    <w:locked/>
    <w:uiPriority w:val="0"/>
    <w:rPr>
      <w:rFonts w:ascii="Arial" w:hAnsi="Arial" w:cs="Arial"/>
      <w:b/>
      <w:sz w:val="24"/>
      <w:szCs w:val="24"/>
      <w:lang w:val="zh-CN"/>
    </w:rPr>
  </w:style>
  <w:style w:type="paragraph" w:customStyle="1" w:styleId="101">
    <w:name w:val="表格图片标题样式"/>
    <w:basedOn w:val="1"/>
    <w:link w:val="100"/>
    <w:qFormat/>
    <w:uiPriority w:val="0"/>
    <w:pPr>
      <w:widowControl w:val="0"/>
      <w:spacing w:line="360" w:lineRule="auto"/>
      <w:jc w:val="center"/>
    </w:pPr>
    <w:rPr>
      <w:rFonts w:ascii="Arial" w:hAnsi="Arial" w:cs="Arial"/>
      <w:b/>
      <w:kern w:val="0"/>
      <w:sz w:val="24"/>
      <w:szCs w:val="24"/>
      <w:lang w:val="zh-CN"/>
    </w:rPr>
  </w:style>
  <w:style w:type="character" w:customStyle="1" w:styleId="102">
    <w:name w:val="批注框文本 Char"/>
    <w:basedOn w:val="70"/>
    <w:link w:val="40"/>
    <w:qFormat/>
    <w:uiPriority w:val="99"/>
    <w:rPr>
      <w:kern w:val="2"/>
      <w:sz w:val="18"/>
      <w:szCs w:val="18"/>
    </w:rPr>
  </w:style>
  <w:style w:type="character" w:customStyle="1" w:styleId="103">
    <w:name w:val="普通文字 Char Char2"/>
    <w:qFormat/>
    <w:uiPriority w:val="0"/>
    <w:rPr>
      <w:rFonts w:ascii="宋体" w:hAnsi="Courier New" w:eastAsia="宋体"/>
      <w:kern w:val="2"/>
      <w:sz w:val="21"/>
      <w:szCs w:val="21"/>
      <w:lang w:val="en-US" w:eastAsia="zh-CN" w:bidi="ar-SA"/>
    </w:rPr>
  </w:style>
  <w:style w:type="character" w:customStyle="1" w:styleId="104">
    <w:name w:val="标题 2李洪 Char"/>
    <w:qFormat/>
    <w:uiPriority w:val="0"/>
    <w:rPr>
      <w:rFonts w:hint="eastAsia" w:ascii="宋体" w:hAnsi="宋体" w:eastAsia="宋体"/>
      <w:kern w:val="2"/>
      <w:sz w:val="21"/>
      <w:szCs w:val="24"/>
      <w:lang w:val="en-US" w:eastAsia="zh-CN" w:bidi="ar-SA"/>
    </w:rPr>
  </w:style>
  <w:style w:type="character" w:customStyle="1" w:styleId="105">
    <w:name w:val="apple-converted-space"/>
    <w:basedOn w:val="70"/>
    <w:qFormat/>
    <w:uiPriority w:val="0"/>
  </w:style>
  <w:style w:type="character" w:customStyle="1" w:styleId="106">
    <w:name w:val="批注文字 Char"/>
    <w:basedOn w:val="70"/>
    <w:qFormat/>
    <w:uiPriority w:val="99"/>
    <w:rPr>
      <w:kern w:val="2"/>
      <w:sz w:val="21"/>
    </w:rPr>
  </w:style>
  <w:style w:type="character" w:customStyle="1" w:styleId="107">
    <w:name w:val="批注文字 Char1"/>
    <w:basedOn w:val="70"/>
    <w:link w:val="22"/>
    <w:qFormat/>
    <w:uiPriority w:val="0"/>
    <w:rPr>
      <w:kern w:val="2"/>
      <w:sz w:val="21"/>
    </w:rPr>
  </w:style>
  <w:style w:type="character" w:customStyle="1" w:styleId="108">
    <w:name w:val="批注主题 Char"/>
    <w:basedOn w:val="107"/>
    <w:link w:val="65"/>
    <w:qFormat/>
    <w:uiPriority w:val="99"/>
    <w:rPr>
      <w:b/>
      <w:bCs/>
      <w:kern w:val="2"/>
      <w:sz w:val="21"/>
    </w:rPr>
  </w:style>
  <w:style w:type="paragraph" w:customStyle="1" w:styleId="109">
    <w:name w:val="引用1"/>
    <w:basedOn w:val="1"/>
    <w:next w:val="1"/>
    <w:qFormat/>
    <w:uiPriority w:val="99"/>
    <w:rPr>
      <w:rFonts w:ascii="Calibri" w:hAnsi="Calibri"/>
      <w:iCs/>
    </w:rPr>
  </w:style>
  <w:style w:type="character" w:customStyle="1" w:styleId="110">
    <w:name w:val="正文文本 Char"/>
    <w:basedOn w:val="70"/>
    <w:link w:val="26"/>
    <w:qFormat/>
    <w:uiPriority w:val="99"/>
    <w:rPr>
      <w:rFonts w:ascii="Times New Roman" w:hAnsi="Times New Roman" w:eastAsia="宋体" w:cs="Times New Roman"/>
      <w:kern w:val="2"/>
      <w:sz w:val="21"/>
    </w:rPr>
  </w:style>
  <w:style w:type="character" w:customStyle="1" w:styleId="111">
    <w:name w:val="正文首行缩进 Char"/>
    <w:basedOn w:val="110"/>
    <w:link w:val="66"/>
    <w:qFormat/>
    <w:uiPriority w:val="99"/>
    <w:rPr>
      <w:rFonts w:ascii="Times New Roman" w:hAnsi="Times New Roman" w:eastAsia="宋体" w:cs="Times New Roman"/>
      <w:kern w:val="2"/>
      <w:sz w:val="21"/>
    </w:rPr>
  </w:style>
  <w:style w:type="character" w:customStyle="1" w:styleId="112">
    <w:name w:val="标题 5 Char"/>
    <w:basedOn w:val="70"/>
    <w:link w:val="6"/>
    <w:qFormat/>
    <w:uiPriority w:val="0"/>
    <w:rPr>
      <w:rFonts w:ascii="Calibri" w:hAnsi="Calibri" w:eastAsia="仿宋" w:cs="Times New Roman"/>
      <w:b/>
      <w:bCs/>
      <w:kern w:val="2"/>
      <w:sz w:val="28"/>
      <w:szCs w:val="28"/>
    </w:rPr>
  </w:style>
  <w:style w:type="character" w:customStyle="1" w:styleId="113">
    <w:name w:val="标题 6 Char"/>
    <w:basedOn w:val="70"/>
    <w:link w:val="7"/>
    <w:qFormat/>
    <w:uiPriority w:val="0"/>
    <w:rPr>
      <w:rFonts w:ascii="Cambria" w:hAnsi="Cambria" w:eastAsia="仿宋_GB2312" w:cs="Times New Roman"/>
      <w:b/>
      <w:bCs/>
      <w:kern w:val="2"/>
      <w:sz w:val="24"/>
      <w:szCs w:val="24"/>
    </w:rPr>
  </w:style>
  <w:style w:type="character" w:customStyle="1" w:styleId="114">
    <w:name w:val="标题 7 Char"/>
    <w:basedOn w:val="70"/>
    <w:link w:val="8"/>
    <w:qFormat/>
    <w:uiPriority w:val="0"/>
    <w:rPr>
      <w:rFonts w:ascii="Calibri" w:hAnsi="Calibri" w:eastAsia="仿宋" w:cs="Times New Roman"/>
      <w:b/>
      <w:bCs/>
      <w:kern w:val="2"/>
      <w:sz w:val="24"/>
      <w:szCs w:val="24"/>
    </w:rPr>
  </w:style>
  <w:style w:type="character" w:customStyle="1" w:styleId="115">
    <w:name w:val="标题 8 Char"/>
    <w:basedOn w:val="70"/>
    <w:link w:val="9"/>
    <w:qFormat/>
    <w:uiPriority w:val="0"/>
    <w:rPr>
      <w:rFonts w:ascii="Cambria" w:hAnsi="Cambria" w:eastAsia="仿宋_GB2312" w:cs="Times New Roman"/>
      <w:kern w:val="2"/>
      <w:sz w:val="24"/>
      <w:szCs w:val="24"/>
    </w:rPr>
  </w:style>
  <w:style w:type="character" w:customStyle="1" w:styleId="116">
    <w:name w:val="标题 9 Char"/>
    <w:basedOn w:val="70"/>
    <w:link w:val="10"/>
    <w:qFormat/>
    <w:uiPriority w:val="0"/>
    <w:rPr>
      <w:rFonts w:ascii="Cambria" w:hAnsi="Cambria" w:eastAsia="仿宋_GB2312" w:cs="Times New Roman"/>
      <w:kern w:val="2"/>
      <w:sz w:val="28"/>
      <w:szCs w:val="21"/>
    </w:rPr>
  </w:style>
  <w:style w:type="character" w:customStyle="1" w:styleId="117">
    <w:name w:val="样式 标题 2第一层条Chapter X.X.h2l2sect 1.22Heading 2 HiddenHead...1 Char Char"/>
    <w:link w:val="118"/>
    <w:qFormat/>
    <w:uiPriority w:val="0"/>
    <w:rPr>
      <w:rFonts w:ascii="Arial" w:hAnsi="Arial" w:eastAsia="黑体"/>
      <w:b/>
      <w:bCs/>
      <w:sz w:val="21"/>
      <w:szCs w:val="32"/>
    </w:rPr>
  </w:style>
  <w:style w:type="paragraph" w:customStyle="1" w:styleId="118">
    <w:name w:val="样式 标题 2第一层条Chapter X.X.h2l2sect 1.22Heading 2 HiddenHead...1"/>
    <w:basedOn w:val="3"/>
    <w:link w:val="117"/>
    <w:uiPriority w:val="0"/>
    <w:pPr>
      <w:widowControl w:val="0"/>
      <w:tabs>
        <w:tab w:val="left" w:pos="576"/>
      </w:tabs>
      <w:spacing w:before="120" w:after="120" w:line="440" w:lineRule="atLeast"/>
      <w:ind w:left="578" w:hanging="578"/>
    </w:pPr>
    <w:rPr>
      <w:rFonts w:ascii="Arial" w:hAnsi="Arial" w:eastAsia="黑体" w:cstheme="minorBidi"/>
      <w:kern w:val="0"/>
      <w:sz w:val="21"/>
    </w:rPr>
  </w:style>
  <w:style w:type="character" w:customStyle="1" w:styleId="119">
    <w:name w:val="style101"/>
    <w:qFormat/>
    <w:uiPriority w:val="0"/>
    <w:rPr>
      <w:sz w:val="24"/>
      <w:szCs w:val="24"/>
    </w:rPr>
  </w:style>
  <w:style w:type="character" w:customStyle="1" w:styleId="120">
    <w:name w:val="封皮4 Char Char"/>
    <w:link w:val="121"/>
    <w:qFormat/>
    <w:uiPriority w:val="0"/>
    <w:rPr>
      <w:rFonts w:ascii="Times New Roman" w:hAnsi="Times New Roman" w:eastAsia="华文行楷"/>
      <w:spacing w:val="50"/>
      <w:kern w:val="2"/>
      <w:sz w:val="32"/>
      <w:szCs w:val="32"/>
    </w:rPr>
  </w:style>
  <w:style w:type="paragraph" w:customStyle="1" w:styleId="121">
    <w:name w:val="封皮4"/>
    <w:basedOn w:val="1"/>
    <w:link w:val="120"/>
    <w:qFormat/>
    <w:uiPriority w:val="0"/>
    <w:pPr>
      <w:widowControl w:val="0"/>
      <w:jc w:val="center"/>
    </w:pPr>
    <w:rPr>
      <w:rFonts w:eastAsia="华文行楷" w:cstheme="minorBidi"/>
      <w:spacing w:val="50"/>
      <w:sz w:val="32"/>
      <w:szCs w:val="32"/>
    </w:rPr>
  </w:style>
  <w:style w:type="character" w:customStyle="1" w:styleId="122">
    <w:name w:val="Char Char4"/>
    <w:qFormat/>
    <w:uiPriority w:val="0"/>
    <w:rPr>
      <w:rFonts w:eastAsia="仿宋_GB2312"/>
      <w:kern w:val="2"/>
      <w:sz w:val="18"/>
      <w:szCs w:val="18"/>
      <w:lang w:val="en-US" w:eastAsia="zh-CN" w:bidi="ar-SA"/>
    </w:rPr>
  </w:style>
  <w:style w:type="character" w:customStyle="1" w:styleId="123">
    <w:name w:val="title11"/>
    <w:qFormat/>
    <w:uiPriority w:val="0"/>
    <w:rPr>
      <w:b/>
      <w:bCs/>
      <w:color w:val="008000"/>
      <w:sz w:val="27"/>
      <w:szCs w:val="27"/>
    </w:rPr>
  </w:style>
  <w:style w:type="character" w:customStyle="1" w:styleId="124">
    <w:name w:val="注释标题 Char"/>
    <w:link w:val="13"/>
    <w:qFormat/>
    <w:uiPriority w:val="0"/>
    <w:rPr>
      <w:rFonts w:ascii="Times New Roman" w:hAnsi="Times New Roman" w:eastAsia="仿宋_GB2312"/>
      <w:kern w:val="2"/>
      <w:sz w:val="24"/>
      <w:szCs w:val="24"/>
    </w:rPr>
  </w:style>
  <w:style w:type="character" w:customStyle="1" w:styleId="125">
    <w:name w:val="line1"/>
    <w:basedOn w:val="70"/>
    <w:qFormat/>
    <w:uiPriority w:val="0"/>
  </w:style>
  <w:style w:type="character" w:customStyle="1" w:styleId="126">
    <w:name w:val="正文文本缩进 3 Char1"/>
    <w:qFormat/>
    <w:uiPriority w:val="99"/>
    <w:rPr>
      <w:rFonts w:ascii="Times New Roman" w:hAnsi="Times New Roman" w:eastAsia="仿宋_GB2312"/>
      <w:kern w:val="2"/>
      <w:sz w:val="16"/>
      <w:szCs w:val="16"/>
    </w:rPr>
  </w:style>
  <w:style w:type="character" w:customStyle="1" w:styleId="127">
    <w:name w:val="样式 Arial"/>
    <w:qFormat/>
    <w:uiPriority w:val="0"/>
    <w:rPr>
      <w:rFonts w:ascii="Arial" w:hAnsi="Arial"/>
    </w:rPr>
  </w:style>
  <w:style w:type="character" w:customStyle="1" w:styleId="128">
    <w:name w:val="标题 8 Char2"/>
    <w:qFormat/>
    <w:uiPriority w:val="0"/>
    <w:rPr>
      <w:rFonts w:ascii="Arial" w:hAnsi="Arial" w:eastAsia="黑体"/>
      <w:kern w:val="2"/>
      <w:sz w:val="24"/>
      <w:szCs w:val="24"/>
      <w:lang w:val="en-US" w:eastAsia="zh-CN" w:bidi="ar-SA"/>
    </w:rPr>
  </w:style>
  <w:style w:type="character" w:customStyle="1" w:styleId="129">
    <w:name w:val="Char Char6"/>
    <w:qFormat/>
    <w:uiPriority w:val="0"/>
    <w:rPr>
      <w:rFonts w:ascii="Arial" w:hAnsi="Arial" w:eastAsia="黑体"/>
      <w:b/>
      <w:bCs/>
      <w:kern w:val="2"/>
      <w:sz w:val="32"/>
      <w:szCs w:val="32"/>
      <w:lang w:val="en-US" w:eastAsia="zh-CN" w:bidi="ar-SA"/>
    </w:rPr>
  </w:style>
  <w:style w:type="character" w:customStyle="1" w:styleId="130">
    <w:name w:val="text"/>
    <w:basedOn w:val="70"/>
    <w:qFormat/>
    <w:uiPriority w:val="0"/>
  </w:style>
  <w:style w:type="character" w:customStyle="1" w:styleId="131">
    <w:name w:val="Char Char92"/>
    <w:qFormat/>
    <w:uiPriority w:val="0"/>
    <w:rPr>
      <w:b/>
      <w:bCs/>
      <w:kern w:val="44"/>
      <w:sz w:val="44"/>
      <w:szCs w:val="44"/>
    </w:rPr>
  </w:style>
  <w:style w:type="character" w:customStyle="1" w:styleId="132">
    <w:name w:val="二级标题 Char Char Char"/>
    <w:qFormat/>
    <w:uiPriority w:val="0"/>
    <w:rPr>
      <w:rFonts w:ascii="Arial" w:hAnsi="Arial" w:eastAsia="黑体"/>
      <w:b/>
      <w:bCs/>
      <w:kern w:val="2"/>
      <w:sz w:val="32"/>
      <w:szCs w:val="32"/>
      <w:lang w:val="en-US" w:eastAsia="zh-CN" w:bidi="ar-SA"/>
    </w:rPr>
  </w:style>
  <w:style w:type="character" w:customStyle="1" w:styleId="133">
    <w:name w:val="样式1 Char Char"/>
    <w:qFormat/>
    <w:uiPriority w:val="0"/>
    <w:rPr>
      <w:b/>
      <w:kern w:val="2"/>
      <w:sz w:val="24"/>
      <w:szCs w:val="24"/>
    </w:rPr>
  </w:style>
  <w:style w:type="character" w:customStyle="1" w:styleId="134">
    <w:name w:val="正文文本 3 Char"/>
    <w:link w:val="24"/>
    <w:qFormat/>
    <w:uiPriority w:val="99"/>
    <w:rPr>
      <w:rFonts w:ascii="Times New Roman" w:hAnsi="Times New Roman" w:eastAsia="仿宋_GB2312"/>
      <w:kern w:val="2"/>
      <w:sz w:val="24"/>
      <w:szCs w:val="24"/>
    </w:rPr>
  </w:style>
  <w:style w:type="character" w:customStyle="1" w:styleId="135">
    <w:name w:val="样式5 Char1"/>
    <w:link w:val="136"/>
    <w:qFormat/>
    <w:uiPriority w:val="0"/>
    <w:rPr>
      <w:rFonts w:ascii="宋体" w:hAnsi="宋体" w:eastAsia="仿宋_GB2312"/>
      <w:b/>
      <w:bCs/>
      <w:kern w:val="2"/>
      <w:sz w:val="28"/>
      <w:szCs w:val="28"/>
    </w:rPr>
  </w:style>
  <w:style w:type="paragraph" w:customStyle="1" w:styleId="136">
    <w:name w:val="样式5"/>
    <w:basedOn w:val="1"/>
    <w:link w:val="135"/>
    <w:qFormat/>
    <w:uiPriority w:val="0"/>
    <w:pPr>
      <w:widowControl w:val="0"/>
      <w:tabs>
        <w:tab w:val="left" w:pos="1008"/>
        <w:tab w:val="left" w:pos="2740"/>
      </w:tabs>
      <w:spacing w:line="377" w:lineRule="auto"/>
      <w:ind w:left="1008" w:hanging="1008"/>
    </w:pPr>
    <w:rPr>
      <w:rFonts w:ascii="宋体" w:hAnsi="宋体" w:eastAsia="仿宋_GB2312" w:cstheme="minorBidi"/>
      <w:b/>
      <w:bCs/>
      <w:sz w:val="28"/>
      <w:szCs w:val="28"/>
    </w:rPr>
  </w:style>
  <w:style w:type="character" w:customStyle="1" w:styleId="137">
    <w:name w:val="style361"/>
    <w:qFormat/>
    <w:uiPriority w:val="0"/>
    <w:rPr>
      <w:b/>
      <w:bCs/>
      <w:color w:val="666666"/>
    </w:rPr>
  </w:style>
  <w:style w:type="character" w:customStyle="1" w:styleId="138">
    <w:name w:val="gray3"/>
    <w:qFormat/>
    <w:uiPriority w:val="0"/>
  </w:style>
  <w:style w:type="character" w:customStyle="1" w:styleId="139">
    <w:name w:val="style3"/>
    <w:qFormat/>
    <w:uiPriority w:val="0"/>
  </w:style>
  <w:style w:type="character" w:customStyle="1" w:styleId="140">
    <w:name w:val="paragraph-1 Char Char"/>
    <w:link w:val="141"/>
    <w:qFormat/>
    <w:uiPriority w:val="0"/>
    <w:rPr>
      <w:rFonts w:eastAsia="仿宋_GB2312"/>
      <w:sz w:val="28"/>
      <w:szCs w:val="28"/>
    </w:rPr>
  </w:style>
  <w:style w:type="paragraph" w:customStyle="1" w:styleId="141">
    <w:name w:val="paragraph-1"/>
    <w:basedOn w:val="1"/>
    <w:link w:val="140"/>
    <w:qFormat/>
    <w:uiPriority w:val="0"/>
    <w:pPr>
      <w:widowControl w:val="0"/>
      <w:spacing w:line="360" w:lineRule="auto"/>
      <w:ind w:firstLine="200" w:firstLineChars="200"/>
    </w:pPr>
    <w:rPr>
      <w:rFonts w:eastAsia="仿宋_GB2312" w:asciiTheme="minorHAnsi" w:hAnsiTheme="minorHAnsi" w:cstheme="minorBidi"/>
      <w:kern w:val="0"/>
      <w:sz w:val="28"/>
      <w:szCs w:val="28"/>
    </w:rPr>
  </w:style>
  <w:style w:type="character" w:customStyle="1" w:styleId="142">
    <w:name w:val="Char Char7"/>
    <w:qFormat/>
    <w:uiPriority w:val="0"/>
    <w:rPr>
      <w:rFonts w:ascii="宋体" w:hAnsi="宋体" w:eastAsia="宋体"/>
      <w:sz w:val="24"/>
      <w:lang w:val="en-US" w:eastAsia="zh-CN" w:bidi="ar-SA"/>
    </w:rPr>
  </w:style>
  <w:style w:type="character" w:customStyle="1" w:styleId="143">
    <w:name w:val="正文新格式 Char Char Char Char Char"/>
    <w:link w:val="144"/>
    <w:qFormat/>
    <w:uiPriority w:val="0"/>
    <w:rPr>
      <w:kern w:val="2"/>
      <w:sz w:val="28"/>
      <w:szCs w:val="28"/>
    </w:rPr>
  </w:style>
  <w:style w:type="paragraph" w:customStyle="1" w:styleId="144">
    <w:name w:val="正文新格式 Char Char Char"/>
    <w:basedOn w:val="1"/>
    <w:link w:val="143"/>
    <w:qFormat/>
    <w:uiPriority w:val="0"/>
    <w:pPr>
      <w:widowControl w:val="0"/>
      <w:spacing w:line="360" w:lineRule="auto"/>
      <w:ind w:firstLine="560" w:firstLineChars="200"/>
    </w:pPr>
    <w:rPr>
      <w:rFonts w:asciiTheme="minorHAnsi" w:hAnsiTheme="minorHAnsi" w:eastAsiaTheme="minorEastAsia" w:cstheme="minorBidi"/>
      <w:sz w:val="28"/>
      <w:szCs w:val="28"/>
    </w:rPr>
  </w:style>
  <w:style w:type="character" w:customStyle="1" w:styleId="145">
    <w:name w:val="样式 标题 4H4Ref Heading 1rh1Heading sqlsect 1.2.3.4第三层条blbb... Char Char"/>
    <w:link w:val="146"/>
    <w:qFormat/>
    <w:uiPriority w:val="0"/>
    <w:rPr>
      <w:rFonts w:ascii="黑体" w:hAnsi="黑体" w:eastAsia="仿宋_GB2312"/>
      <w:b/>
      <w:bCs/>
      <w:kern w:val="2"/>
      <w:sz w:val="28"/>
      <w:szCs w:val="28"/>
    </w:rPr>
  </w:style>
  <w:style w:type="paragraph" w:customStyle="1" w:styleId="146">
    <w:name w:val="样式 标题 4H4Ref Heading 1rh1Heading sqlsect 1.2.3.4第三层条blbb..."/>
    <w:basedOn w:val="5"/>
    <w:link w:val="145"/>
    <w:qFormat/>
    <w:uiPriority w:val="0"/>
    <w:pPr>
      <w:widowControl w:val="0"/>
      <w:tabs>
        <w:tab w:val="left" w:pos="864"/>
        <w:tab w:val="left" w:pos="1073"/>
      </w:tabs>
      <w:spacing w:line="377" w:lineRule="auto"/>
      <w:ind w:left="864" w:hanging="864"/>
    </w:pPr>
    <w:rPr>
      <w:rFonts w:ascii="黑体" w:hAnsi="黑体" w:eastAsia="仿宋_GB2312" w:cstheme="minorBidi"/>
    </w:rPr>
  </w:style>
  <w:style w:type="character" w:customStyle="1" w:styleId="147">
    <w:name w:val="样式 正文3 + 宋体 Char Char"/>
    <w:link w:val="148"/>
    <w:qFormat/>
    <w:uiPriority w:val="0"/>
    <w:rPr>
      <w:rFonts w:ascii="宋体" w:hAnsi="宋体" w:cs="宋体"/>
      <w:kern w:val="44"/>
      <w:sz w:val="24"/>
      <w:szCs w:val="24"/>
    </w:rPr>
  </w:style>
  <w:style w:type="paragraph" w:customStyle="1" w:styleId="148">
    <w:name w:val="样式 正文3 + 宋体"/>
    <w:basedOn w:val="149"/>
    <w:link w:val="147"/>
    <w:qFormat/>
    <w:uiPriority w:val="0"/>
    <w:pPr>
      <w:ind w:firstLine="480"/>
    </w:pPr>
    <w:rPr>
      <w:rFonts w:ascii="宋体" w:hAnsi="宋体"/>
    </w:rPr>
  </w:style>
  <w:style w:type="paragraph" w:customStyle="1" w:styleId="149">
    <w:name w:val="正文3"/>
    <w:basedOn w:val="99"/>
    <w:link w:val="275"/>
    <w:qFormat/>
    <w:uiPriority w:val="0"/>
    <w:pPr>
      <w:tabs>
        <w:tab w:val="clear" w:pos="2160"/>
      </w:tabs>
      <w:adjustRightInd/>
      <w:spacing w:line="480" w:lineRule="auto"/>
      <w:ind w:firstLine="200" w:firstLineChars="200"/>
      <w:jc w:val="both"/>
      <w:textAlignment w:val="auto"/>
    </w:pPr>
    <w:rPr>
      <w:rFonts w:ascii="Times New Roman" w:cs="宋体" w:eastAsiaTheme="minorEastAsia"/>
      <w:kern w:val="44"/>
      <w:sz w:val="24"/>
      <w:szCs w:val="24"/>
    </w:rPr>
  </w:style>
  <w:style w:type="character" w:customStyle="1" w:styleId="150">
    <w:name w:val="hj style281"/>
    <w:basedOn w:val="70"/>
    <w:qFormat/>
    <w:uiPriority w:val="0"/>
  </w:style>
  <w:style w:type="character" w:customStyle="1" w:styleId="151">
    <w:name w:val="样式 标题 2 + 黑体1 Char"/>
    <w:qFormat/>
    <w:uiPriority w:val="0"/>
    <w:rPr>
      <w:rFonts w:ascii="黑体" w:hAnsi="黑体" w:eastAsia="黑体"/>
      <w:b/>
      <w:bCs/>
      <w:kern w:val="2"/>
      <w:sz w:val="32"/>
      <w:szCs w:val="32"/>
      <w:lang w:val="en-US" w:eastAsia="zh-CN" w:bidi="ar-SA"/>
    </w:rPr>
  </w:style>
  <w:style w:type="character" w:customStyle="1" w:styleId="152">
    <w:name w:val="Figure Description Char Char"/>
    <w:qFormat/>
    <w:uiPriority w:val="0"/>
    <w:rPr>
      <w:rFonts w:ascii="Arial" w:hAnsi="Arial" w:eastAsia="黑体"/>
      <w:sz w:val="18"/>
      <w:szCs w:val="18"/>
    </w:rPr>
  </w:style>
  <w:style w:type="character" w:customStyle="1" w:styleId="153">
    <w:name w:val="标题 2 Char Char1"/>
    <w:qFormat/>
    <w:uiPriority w:val="0"/>
    <w:rPr>
      <w:rFonts w:ascii="Arial" w:hAnsi="Arial" w:eastAsia="黑体"/>
      <w:b/>
      <w:bCs/>
      <w:kern w:val="2"/>
      <w:sz w:val="32"/>
      <w:szCs w:val="32"/>
      <w:lang w:val="en-US" w:eastAsia="zh-CN" w:bidi="ar-SA"/>
    </w:rPr>
  </w:style>
  <w:style w:type="character" w:customStyle="1" w:styleId="154">
    <w:name w:val="duanluo1"/>
    <w:qFormat/>
    <w:uiPriority w:val="0"/>
    <w:rPr>
      <w:rFonts w:hint="default" w:ascii="ˎ̥" w:hAnsi="ˎ̥"/>
      <w:sz w:val="24"/>
      <w:szCs w:val="24"/>
    </w:rPr>
  </w:style>
  <w:style w:type="character" w:customStyle="1" w:styleId="155">
    <w:name w:val="add_compare_btn3"/>
    <w:qFormat/>
    <w:uiPriority w:val="0"/>
    <w:rPr>
      <w:rFonts w:hint="default" w:ascii="宋体" w:hAnsi="宋体"/>
      <w:b/>
      <w:bCs/>
      <w:color w:val="336699"/>
      <w:sz w:val="21"/>
      <w:szCs w:val="21"/>
      <w:bdr w:val="single" w:color="AFCAE4" w:sz="6" w:space="0"/>
      <w:shd w:val="clear" w:color="auto" w:fill="E8F3FD"/>
    </w:rPr>
  </w:style>
  <w:style w:type="character" w:customStyle="1" w:styleId="156">
    <w:name w:val="节 Char Char"/>
    <w:qFormat/>
    <w:uiPriority w:val="0"/>
    <w:rPr>
      <w:rFonts w:ascii="Arial" w:hAnsi="Arial" w:eastAsia="黑体"/>
      <w:b/>
      <w:bCs/>
      <w:kern w:val="2"/>
      <w:sz w:val="32"/>
      <w:szCs w:val="32"/>
      <w:lang w:val="en-US" w:eastAsia="zh-CN" w:bidi="ar-SA"/>
    </w:rPr>
  </w:style>
  <w:style w:type="character" w:customStyle="1" w:styleId="157">
    <w:name w:val="Char Char63"/>
    <w:qFormat/>
    <w:uiPriority w:val="0"/>
    <w:rPr>
      <w:rFonts w:ascii="Arial" w:hAnsi="Arial" w:eastAsia="黑体"/>
      <w:b/>
      <w:bCs/>
      <w:kern w:val="2"/>
      <w:sz w:val="32"/>
      <w:szCs w:val="32"/>
      <w:lang w:val="en-US" w:eastAsia="zh-CN" w:bidi="ar-SA"/>
    </w:rPr>
  </w:style>
  <w:style w:type="character" w:customStyle="1" w:styleId="158">
    <w:name w:val="a14c1"/>
    <w:qFormat/>
    <w:uiPriority w:val="0"/>
    <w:rPr>
      <w:color w:val="585661"/>
      <w:sz w:val="21"/>
      <w:szCs w:val="21"/>
      <w:u w:val="none"/>
    </w:rPr>
  </w:style>
  <w:style w:type="character" w:customStyle="1" w:styleId="159">
    <w:name w:val="样式 正文缩进正文（首行缩进两字）正文2正文（首行缩进两字） Char Char Char Char Char Char ...1 Char"/>
    <w:qFormat/>
    <w:locked/>
    <w:uiPriority w:val="0"/>
    <w:rPr>
      <w:rFonts w:ascii="宋体" w:hAnsi="宋体"/>
      <w:kern w:val="2"/>
      <w:sz w:val="28"/>
    </w:rPr>
  </w:style>
  <w:style w:type="character" w:customStyle="1" w:styleId="160">
    <w:name w:val="样式 四号"/>
    <w:qFormat/>
    <w:uiPriority w:val="0"/>
    <w:rPr>
      <w:sz w:val="28"/>
    </w:rPr>
  </w:style>
  <w:style w:type="character" w:customStyle="1" w:styleId="161">
    <w:name w:val="Table Text Char Char"/>
    <w:link w:val="162"/>
    <w:qFormat/>
    <w:uiPriority w:val="0"/>
    <w:rPr>
      <w:rFonts w:ascii="Arial" w:hAnsi="Arial" w:eastAsia="仿宋_GB2312"/>
      <w:color w:val="000000"/>
      <w:kern w:val="2"/>
      <w:sz w:val="18"/>
      <w:szCs w:val="21"/>
    </w:rPr>
  </w:style>
  <w:style w:type="paragraph" w:customStyle="1" w:styleId="162">
    <w:name w:val="Table Text"/>
    <w:basedOn w:val="1"/>
    <w:link w:val="161"/>
    <w:qFormat/>
    <w:uiPriority w:val="0"/>
    <w:pPr>
      <w:tabs>
        <w:tab w:val="decimal" w:pos="0"/>
      </w:tabs>
      <w:autoSpaceDE w:val="0"/>
      <w:autoSpaceDN w:val="0"/>
      <w:adjustRightInd w:val="0"/>
      <w:spacing w:before="80" w:after="80"/>
    </w:pPr>
    <w:rPr>
      <w:rFonts w:ascii="Arial" w:hAnsi="Arial" w:eastAsia="仿宋_GB2312" w:cstheme="minorBidi"/>
      <w:color w:val="000000"/>
      <w:sz w:val="18"/>
      <w:szCs w:val="21"/>
    </w:rPr>
  </w:style>
  <w:style w:type="character" w:customStyle="1" w:styleId="163">
    <w:name w:val="headline-content2"/>
    <w:qFormat/>
    <w:uiPriority w:val="0"/>
  </w:style>
  <w:style w:type="character" w:customStyle="1" w:styleId="164">
    <w:name w:val="样式4 Char Char"/>
    <w:link w:val="165"/>
    <w:qFormat/>
    <w:uiPriority w:val="0"/>
    <w:rPr>
      <w:rFonts w:ascii="宋体" w:hAnsi="宋体" w:eastAsia="仿宋_GB2312" w:cs="Calibri"/>
      <w:b/>
      <w:kern w:val="2"/>
      <w:sz w:val="28"/>
      <w:szCs w:val="18"/>
    </w:rPr>
  </w:style>
  <w:style w:type="paragraph" w:customStyle="1" w:styleId="165">
    <w:name w:val="样式4"/>
    <w:basedOn w:val="1"/>
    <w:link w:val="164"/>
    <w:qFormat/>
    <w:uiPriority w:val="0"/>
    <w:pPr>
      <w:widowControl w:val="0"/>
      <w:spacing w:line="440" w:lineRule="exact"/>
      <w:ind w:left="840"/>
    </w:pPr>
    <w:rPr>
      <w:rFonts w:ascii="宋体" w:hAnsi="宋体" w:eastAsia="仿宋_GB2312" w:cs="Calibri"/>
      <w:b/>
      <w:sz w:val="28"/>
      <w:szCs w:val="18"/>
    </w:rPr>
  </w:style>
  <w:style w:type="character" w:customStyle="1" w:styleId="166">
    <w:name w:val="样式 小四"/>
    <w:qFormat/>
    <w:uiPriority w:val="99"/>
    <w:rPr>
      <w:spacing w:val="-6"/>
      <w:sz w:val="28"/>
      <w:szCs w:val="28"/>
    </w:rPr>
  </w:style>
  <w:style w:type="character" w:customStyle="1" w:styleId="167">
    <w:name w:val="999文 Char Char"/>
    <w:link w:val="168"/>
    <w:qFormat/>
    <w:uiPriority w:val="0"/>
    <w:rPr>
      <w:rFonts w:ascii="Times New Roman" w:hAnsi="Times New Roman"/>
      <w:bCs/>
      <w:kern w:val="44"/>
      <w:sz w:val="24"/>
      <w:szCs w:val="44"/>
    </w:rPr>
  </w:style>
  <w:style w:type="paragraph" w:customStyle="1" w:styleId="168">
    <w:name w:val="999文"/>
    <w:basedOn w:val="1"/>
    <w:link w:val="167"/>
    <w:qFormat/>
    <w:uiPriority w:val="0"/>
    <w:pPr>
      <w:keepNext/>
      <w:keepLines/>
      <w:widowControl w:val="0"/>
      <w:adjustRightInd w:val="0"/>
      <w:snapToGrid w:val="0"/>
      <w:spacing w:line="360" w:lineRule="auto"/>
      <w:ind w:firstLine="200" w:firstLineChars="200"/>
      <w:jc w:val="left"/>
    </w:pPr>
    <w:rPr>
      <w:rFonts w:eastAsiaTheme="minorEastAsia" w:cstheme="minorBidi"/>
      <w:bCs/>
      <w:kern w:val="44"/>
      <w:sz w:val="24"/>
      <w:szCs w:val="44"/>
    </w:rPr>
  </w:style>
  <w:style w:type="character" w:customStyle="1" w:styleId="169">
    <w:name w:val="题注 Char"/>
    <w:link w:val="17"/>
    <w:qFormat/>
    <w:uiPriority w:val="0"/>
    <w:rPr>
      <w:rFonts w:ascii="黑体" w:hAnsi="宋体" w:eastAsia="黑体"/>
      <w:kern w:val="2"/>
      <w:sz w:val="24"/>
      <w:szCs w:val="24"/>
    </w:rPr>
  </w:style>
  <w:style w:type="character" w:customStyle="1" w:styleId="170">
    <w:name w:val="脚注文本 Char"/>
    <w:link w:val="48"/>
    <w:qFormat/>
    <w:uiPriority w:val="99"/>
    <w:rPr>
      <w:rFonts w:ascii="宋体" w:hAnsi="宋体" w:eastAsia="MS Gothic"/>
      <w:b/>
      <w:sz w:val="14"/>
      <w:lang w:eastAsia="ja-JP"/>
    </w:rPr>
  </w:style>
  <w:style w:type="character" w:customStyle="1" w:styleId="171">
    <w:name w:val="样式5 Char Char"/>
    <w:qFormat/>
    <w:uiPriority w:val="0"/>
    <w:rPr>
      <w:rFonts w:hAnsi="宋体" w:eastAsia="宋体"/>
      <w:position w:val="-12"/>
      <w:sz w:val="28"/>
      <w:szCs w:val="28"/>
      <w:lang w:val="en-US" w:eastAsia="zh-CN" w:bidi="ar-SA"/>
    </w:rPr>
  </w:style>
  <w:style w:type="character" w:customStyle="1" w:styleId="172">
    <w:name w:val="正文文本缩进 3 Char"/>
    <w:link w:val="51"/>
    <w:qFormat/>
    <w:uiPriority w:val="99"/>
    <w:rPr>
      <w:rFonts w:ascii="宋体"/>
      <w:kern w:val="2"/>
      <w:sz w:val="21"/>
    </w:rPr>
  </w:style>
  <w:style w:type="character" w:customStyle="1" w:styleId="173">
    <w:name w:val="图号样式 五号 加粗 居中 Char Char"/>
    <w:link w:val="174"/>
    <w:qFormat/>
    <w:uiPriority w:val="0"/>
    <w:rPr>
      <w:rFonts w:ascii="Times New Roman" w:hAnsi="Times New Roman" w:eastAsia="仿宋_GB2312"/>
      <w:b/>
      <w:bCs/>
      <w:kern w:val="2"/>
      <w:sz w:val="24"/>
    </w:rPr>
  </w:style>
  <w:style w:type="paragraph" w:customStyle="1" w:styleId="174">
    <w:name w:val="图号样式 五号 加粗 居中"/>
    <w:basedOn w:val="1"/>
    <w:link w:val="173"/>
    <w:qFormat/>
    <w:uiPriority w:val="0"/>
    <w:pPr>
      <w:widowControl w:val="0"/>
      <w:spacing w:line="360" w:lineRule="auto"/>
      <w:jc w:val="center"/>
    </w:pPr>
    <w:rPr>
      <w:rFonts w:eastAsia="仿宋_GB2312" w:cstheme="minorBidi"/>
      <w:b/>
      <w:bCs/>
      <w:sz w:val="24"/>
    </w:rPr>
  </w:style>
  <w:style w:type="character" w:customStyle="1" w:styleId="175">
    <w:name w:val="Char Char30"/>
    <w:qFormat/>
    <w:uiPriority w:val="0"/>
    <w:rPr>
      <w:rFonts w:eastAsia="黑体"/>
      <w:b/>
      <w:bCs/>
      <w:kern w:val="44"/>
      <w:sz w:val="44"/>
      <w:szCs w:val="44"/>
      <w:lang w:val="en-US" w:eastAsia="zh-CN" w:bidi="ar-SA"/>
    </w:rPr>
  </w:style>
  <w:style w:type="character" w:customStyle="1" w:styleId="176">
    <w:name w:val="标题 2 Char1"/>
    <w:qFormat/>
    <w:uiPriority w:val="0"/>
    <w:rPr>
      <w:rFonts w:ascii="Arial" w:hAnsi="Arial" w:eastAsia="黑体" w:cs="Times New Roman"/>
      <w:b/>
      <w:bCs/>
      <w:sz w:val="32"/>
      <w:szCs w:val="32"/>
    </w:rPr>
  </w:style>
  <w:style w:type="character" w:customStyle="1" w:styleId="177">
    <w:name w:val="标题 41"/>
    <w:qFormat/>
    <w:uiPriority w:val="0"/>
    <w:rPr>
      <w:rFonts w:ascii="Arial" w:hAnsi="Arial" w:eastAsia="黑体"/>
      <w:b/>
      <w:bCs/>
      <w:kern w:val="2"/>
      <w:sz w:val="28"/>
      <w:szCs w:val="28"/>
      <w:lang w:val="en-US" w:eastAsia="zh-CN" w:bidi="ar-SA"/>
    </w:rPr>
  </w:style>
  <w:style w:type="character" w:customStyle="1" w:styleId="178">
    <w:name w:val="正文文本缩进 Char1"/>
    <w:qFormat/>
    <w:uiPriority w:val="99"/>
    <w:rPr>
      <w:rFonts w:ascii="Times New Roman" w:hAnsi="Times New Roman" w:eastAsia="仿宋_GB2312"/>
      <w:kern w:val="2"/>
      <w:sz w:val="28"/>
      <w:szCs w:val="24"/>
    </w:rPr>
  </w:style>
  <w:style w:type="character" w:customStyle="1" w:styleId="179">
    <w:name w:val="样式 正文缩进正文（首行缩进两字）正文2正文（首行缩进两字） Char Char Char Char Char Char ...1 Char Char"/>
    <w:link w:val="180"/>
    <w:qFormat/>
    <w:uiPriority w:val="0"/>
    <w:rPr>
      <w:rFonts w:ascii="宋体" w:hAnsi="宋体"/>
      <w:kern w:val="2"/>
      <w:sz w:val="28"/>
    </w:rPr>
  </w:style>
  <w:style w:type="paragraph" w:customStyle="1" w:styleId="180">
    <w:name w:val="样式 正文缩进正文（首行缩进两字）正文2正文（首行缩进两字） Char Char Char Char Char Char ...1"/>
    <w:basedOn w:val="16"/>
    <w:link w:val="179"/>
    <w:qFormat/>
    <w:uiPriority w:val="0"/>
    <w:pPr>
      <w:numPr>
        <w:ilvl w:val="0"/>
        <w:numId w:val="0"/>
      </w:numPr>
      <w:autoSpaceDE/>
      <w:autoSpaceDN/>
      <w:adjustRightInd/>
      <w:ind w:firstLine="560" w:firstLineChars="200"/>
      <w:jc w:val="both"/>
      <w:textAlignment w:val="auto"/>
    </w:pPr>
    <w:rPr>
      <w:rFonts w:hAnsi="宋体" w:eastAsiaTheme="minorEastAsia" w:cstheme="minorBidi"/>
      <w:kern w:val="2"/>
      <w:sz w:val="28"/>
    </w:rPr>
  </w:style>
  <w:style w:type="character" w:customStyle="1" w:styleId="181">
    <w:name w:val="paragraph-1 Char Char Char"/>
    <w:qFormat/>
    <w:uiPriority w:val="0"/>
    <w:rPr>
      <w:rFonts w:ascii="Calibri" w:hAnsi="Calibri" w:eastAsia="仿宋_GB2312"/>
      <w:sz w:val="28"/>
      <w:szCs w:val="28"/>
    </w:rPr>
  </w:style>
  <w:style w:type="character" w:customStyle="1" w:styleId="182">
    <w:name w:val="标书正文[858D7CFB-ED40-4347-BF05-701D383B685F]"/>
    <w:link w:val="183"/>
    <w:qFormat/>
    <w:uiPriority w:val="0"/>
    <w:rPr>
      <w:rFonts w:ascii="Times New Roman" w:hAnsi="Times New Roman" w:eastAsia="仿宋_GB2312"/>
      <w:sz w:val="24"/>
      <w:szCs w:val="24"/>
      <w:lang w:eastAsia="en-US" w:bidi="en-US"/>
    </w:rPr>
  </w:style>
  <w:style w:type="paragraph" w:customStyle="1" w:styleId="183">
    <w:name w:val="标书正文"/>
    <w:basedOn w:val="1"/>
    <w:link w:val="182"/>
    <w:qFormat/>
    <w:uiPriority w:val="0"/>
    <w:pPr>
      <w:tabs>
        <w:tab w:val="left" w:pos="1620"/>
      </w:tabs>
      <w:spacing w:line="360" w:lineRule="auto"/>
      <w:ind w:firstLine="200" w:firstLineChars="200"/>
      <w:jc w:val="left"/>
    </w:pPr>
    <w:rPr>
      <w:rFonts w:eastAsia="仿宋_GB2312" w:cstheme="minorBidi"/>
      <w:kern w:val="0"/>
      <w:sz w:val="24"/>
      <w:szCs w:val="24"/>
      <w:lang w:eastAsia="en-US" w:bidi="en-US"/>
    </w:rPr>
  </w:style>
  <w:style w:type="character" w:customStyle="1" w:styleId="184">
    <w:name w:val="样式12 Char Char"/>
    <w:link w:val="185"/>
    <w:qFormat/>
    <w:uiPriority w:val="0"/>
    <w:rPr>
      <w:rFonts w:ascii="宋体" w:hAnsi="宋体" w:cs="宋体"/>
      <w:bCs/>
      <w:color w:val="000000"/>
      <w:kern w:val="2"/>
      <w:sz w:val="28"/>
      <w:szCs w:val="28"/>
    </w:rPr>
  </w:style>
  <w:style w:type="paragraph" w:customStyle="1" w:styleId="185">
    <w:name w:val="样式12"/>
    <w:basedOn w:val="1"/>
    <w:link w:val="184"/>
    <w:qFormat/>
    <w:uiPriority w:val="0"/>
    <w:pPr>
      <w:widowControl w:val="0"/>
      <w:spacing w:line="560" w:lineRule="exact"/>
      <w:ind w:firstLine="560" w:firstLineChars="200"/>
    </w:pPr>
    <w:rPr>
      <w:rFonts w:ascii="宋体" w:hAnsi="宋体" w:cs="宋体" w:eastAsiaTheme="minorEastAsia"/>
      <w:bCs/>
      <w:color w:val="000000"/>
      <w:sz w:val="28"/>
      <w:szCs w:val="28"/>
    </w:rPr>
  </w:style>
  <w:style w:type="character" w:customStyle="1" w:styleId="186">
    <w:name w:val="tytytyty Char Char"/>
    <w:link w:val="187"/>
    <w:qFormat/>
    <w:uiPriority w:val="0"/>
    <w:rPr>
      <w:rFonts w:ascii="Times New Roman" w:hAnsi="Times New Roman" w:eastAsia="仿宋_GB2312"/>
      <w:sz w:val="24"/>
    </w:rPr>
  </w:style>
  <w:style w:type="paragraph" w:customStyle="1" w:styleId="187">
    <w:name w:val="tytytyty"/>
    <w:basedOn w:val="1"/>
    <w:link w:val="186"/>
    <w:qFormat/>
    <w:uiPriority w:val="0"/>
    <w:pPr>
      <w:widowControl w:val="0"/>
      <w:adjustRightInd w:val="0"/>
      <w:spacing w:line="360" w:lineRule="auto"/>
      <w:ind w:left="359" w:leftChars="171" w:firstLine="480" w:firstLineChars="200"/>
      <w:textAlignment w:val="baseline"/>
    </w:pPr>
    <w:rPr>
      <w:rFonts w:eastAsia="仿宋_GB2312" w:cstheme="minorBidi"/>
      <w:kern w:val="0"/>
      <w:sz w:val="24"/>
    </w:rPr>
  </w:style>
  <w:style w:type="character" w:customStyle="1" w:styleId="188">
    <w:name w:val="3zw"/>
    <w:basedOn w:val="70"/>
    <w:qFormat/>
    <w:uiPriority w:val="0"/>
  </w:style>
  <w:style w:type="character" w:customStyle="1" w:styleId="189">
    <w:name w:val="font41"/>
    <w:qFormat/>
    <w:uiPriority w:val="0"/>
    <w:rPr>
      <w:rFonts w:hint="default" w:ascii="Times New Roman" w:hAnsi="Times New Roman" w:cs="Times New Roman"/>
      <w:color w:val="000000"/>
      <w:sz w:val="28"/>
      <w:szCs w:val="28"/>
      <w:u w:val="none"/>
    </w:rPr>
  </w:style>
  <w:style w:type="character" w:customStyle="1" w:styleId="190">
    <w:name w:val="标题 4 Char"/>
    <w:link w:val="5"/>
    <w:qFormat/>
    <w:uiPriority w:val="0"/>
    <w:rPr>
      <w:rFonts w:ascii="Cambria" w:hAnsi="Cambria" w:eastAsia="宋体" w:cs="Times New Roman"/>
      <w:b/>
      <w:bCs/>
      <w:kern w:val="2"/>
      <w:sz w:val="28"/>
      <w:szCs w:val="28"/>
    </w:rPr>
  </w:style>
  <w:style w:type="character" w:customStyle="1" w:styleId="191">
    <w:name w:val="正文文本 Char1"/>
    <w:qFormat/>
    <w:uiPriority w:val="0"/>
    <w:rPr>
      <w:rFonts w:ascii="Times New Roman" w:hAnsi="Times New Roman" w:eastAsia="仿宋_GB2312"/>
      <w:kern w:val="2"/>
      <w:sz w:val="28"/>
      <w:szCs w:val="24"/>
    </w:rPr>
  </w:style>
  <w:style w:type="character" w:customStyle="1" w:styleId="192">
    <w:name w:val="电子邮件签名 Char1"/>
    <w:qFormat/>
    <w:uiPriority w:val="0"/>
    <w:rPr>
      <w:rFonts w:ascii="Times New Roman" w:hAnsi="Times New Roman" w:eastAsia="仿宋" w:cs="Times New Roman"/>
      <w:kern w:val="0"/>
      <w:sz w:val="28"/>
      <w:szCs w:val="20"/>
    </w:rPr>
  </w:style>
  <w:style w:type="character" w:customStyle="1" w:styleId="193">
    <w:name w:val="正文文本 2 Char"/>
    <w:link w:val="57"/>
    <w:qFormat/>
    <w:uiPriority w:val="99"/>
    <w:rPr>
      <w:rFonts w:eastAsia="仿宋_GB2312"/>
      <w:kern w:val="2"/>
      <w:sz w:val="21"/>
      <w:szCs w:val="18"/>
    </w:rPr>
  </w:style>
  <w:style w:type="character" w:customStyle="1" w:styleId="194">
    <w:name w:val="封皮1 Char Char"/>
    <w:link w:val="195"/>
    <w:qFormat/>
    <w:uiPriority w:val="0"/>
    <w:rPr>
      <w:rFonts w:ascii="Times New Roman" w:hAnsi="Times New Roman" w:eastAsia="黑体"/>
      <w:b/>
      <w:kern w:val="2"/>
      <w:sz w:val="44"/>
      <w:szCs w:val="24"/>
    </w:rPr>
  </w:style>
  <w:style w:type="paragraph" w:customStyle="1" w:styleId="195">
    <w:name w:val="封皮1"/>
    <w:basedOn w:val="1"/>
    <w:link w:val="194"/>
    <w:qFormat/>
    <w:uiPriority w:val="0"/>
    <w:pPr>
      <w:widowControl w:val="0"/>
      <w:spacing w:before="340" w:after="330" w:line="578" w:lineRule="auto"/>
      <w:jc w:val="center"/>
    </w:pPr>
    <w:rPr>
      <w:rFonts w:eastAsia="黑体" w:cstheme="minorBidi"/>
      <w:b/>
      <w:sz w:val="44"/>
      <w:szCs w:val="24"/>
    </w:rPr>
  </w:style>
  <w:style w:type="character" w:customStyle="1" w:styleId="196">
    <w:name w:val="Char Char9"/>
    <w:qFormat/>
    <w:uiPriority w:val="0"/>
    <w:rPr>
      <w:rFonts w:eastAsia="宋体"/>
      <w:b/>
      <w:bCs/>
      <w:kern w:val="44"/>
      <w:sz w:val="44"/>
      <w:szCs w:val="44"/>
      <w:lang w:val="en-US" w:eastAsia="zh-CN" w:bidi="ar-SA"/>
    </w:rPr>
  </w:style>
  <w:style w:type="character" w:customStyle="1" w:styleId="197">
    <w:name w:val="段落1 Char Char Char"/>
    <w:link w:val="198"/>
    <w:qFormat/>
    <w:uiPriority w:val="0"/>
    <w:rPr>
      <w:rFonts w:ascii="宋体" w:hAnsi="宋体"/>
      <w:kern w:val="2"/>
      <w:sz w:val="24"/>
    </w:rPr>
  </w:style>
  <w:style w:type="paragraph" w:customStyle="1" w:styleId="198">
    <w:name w:val="段落1 Char"/>
    <w:basedOn w:val="1"/>
    <w:link w:val="197"/>
    <w:qFormat/>
    <w:uiPriority w:val="0"/>
    <w:pPr>
      <w:widowControl w:val="0"/>
      <w:snapToGrid w:val="0"/>
      <w:spacing w:line="360" w:lineRule="auto"/>
      <w:ind w:firstLine="480" w:firstLineChars="200"/>
    </w:pPr>
    <w:rPr>
      <w:rFonts w:ascii="宋体" w:hAnsi="宋体" w:eastAsiaTheme="minorEastAsia" w:cstheme="minorBidi"/>
      <w:sz w:val="24"/>
    </w:rPr>
  </w:style>
  <w:style w:type="character" w:customStyle="1" w:styleId="199">
    <w:name w:val="样式2 Char Char"/>
    <w:link w:val="200"/>
    <w:qFormat/>
    <w:uiPriority w:val="0"/>
    <w:rPr>
      <w:rFonts w:ascii="宋体" w:hAnsi="宋体"/>
      <w:bCs/>
      <w:kern w:val="2"/>
      <w:sz w:val="28"/>
      <w:szCs w:val="28"/>
    </w:rPr>
  </w:style>
  <w:style w:type="paragraph" w:customStyle="1" w:styleId="200">
    <w:name w:val="样式2"/>
    <w:basedOn w:val="5"/>
    <w:link w:val="199"/>
    <w:qFormat/>
    <w:uiPriority w:val="0"/>
    <w:pPr>
      <w:widowControl w:val="0"/>
      <w:spacing w:line="440" w:lineRule="exact"/>
      <w:ind w:firstLine="480" w:firstLineChars="200"/>
    </w:pPr>
    <w:rPr>
      <w:rFonts w:ascii="宋体" w:hAnsi="宋体" w:eastAsiaTheme="minorEastAsia" w:cstheme="minorBidi"/>
      <w:b w:val="0"/>
    </w:rPr>
  </w:style>
  <w:style w:type="character" w:customStyle="1" w:styleId="201">
    <w:name w:val="Char Char61"/>
    <w:qFormat/>
    <w:uiPriority w:val="0"/>
    <w:rPr>
      <w:rFonts w:ascii="Arial" w:hAnsi="Arial" w:eastAsia="黑体"/>
      <w:b/>
      <w:bCs/>
      <w:kern w:val="2"/>
      <w:sz w:val="32"/>
      <w:szCs w:val="32"/>
      <w:lang w:val="en-US" w:eastAsia="zh-CN" w:bidi="ar-SA"/>
    </w:rPr>
  </w:style>
  <w:style w:type="character" w:customStyle="1" w:styleId="202">
    <w:name w:val="人员 Char Char Char Char Char Char"/>
    <w:qFormat/>
    <w:uiPriority w:val="0"/>
    <w:rPr>
      <w:rFonts w:ascii="宋体" w:eastAsia="宋体"/>
      <w:kern w:val="2"/>
      <w:sz w:val="32"/>
      <w:szCs w:val="28"/>
      <w:lang w:val="en-US" w:eastAsia="zh-CN" w:bidi="ar-SA"/>
    </w:rPr>
  </w:style>
  <w:style w:type="character" w:customStyle="1" w:styleId="203">
    <w:name w:val="引用 Char"/>
    <w:link w:val="204"/>
    <w:qFormat/>
    <w:uiPriority w:val="0"/>
    <w:rPr>
      <w:rFonts w:ascii="Times New Roman" w:hAnsi="Times New Roman" w:eastAsia="仿宋_GB2312"/>
      <w:b/>
      <w:iCs/>
      <w:color w:val="000000"/>
      <w:kern w:val="2"/>
      <w:sz w:val="24"/>
      <w:szCs w:val="24"/>
    </w:rPr>
  </w:style>
  <w:style w:type="paragraph" w:styleId="204">
    <w:name w:val="Quote"/>
    <w:basedOn w:val="1"/>
    <w:next w:val="1"/>
    <w:link w:val="203"/>
    <w:qFormat/>
    <w:uiPriority w:val="0"/>
    <w:pPr>
      <w:widowControl w:val="0"/>
      <w:jc w:val="center"/>
    </w:pPr>
    <w:rPr>
      <w:rFonts w:eastAsia="仿宋_GB2312" w:cstheme="minorBidi"/>
      <w:b/>
      <w:iCs/>
      <w:color w:val="000000"/>
      <w:sz w:val="24"/>
      <w:szCs w:val="24"/>
    </w:rPr>
  </w:style>
  <w:style w:type="character" w:customStyle="1" w:styleId="205">
    <w:name w:val="文档结构图 Char2"/>
    <w:qFormat/>
    <w:uiPriority w:val="0"/>
    <w:rPr>
      <w:rFonts w:ascii="宋体"/>
      <w:sz w:val="18"/>
      <w:szCs w:val="18"/>
    </w:rPr>
  </w:style>
  <w:style w:type="character" w:customStyle="1" w:styleId="206">
    <w:name w:val="Char Char13"/>
    <w:qFormat/>
    <w:uiPriority w:val="0"/>
    <w:rPr>
      <w:rFonts w:ascii="Times New Roman" w:hAnsi="Times New Roman" w:eastAsia="宋体" w:cs="Times New Roman"/>
      <w:sz w:val="18"/>
      <w:szCs w:val="18"/>
    </w:rPr>
  </w:style>
  <w:style w:type="character" w:customStyle="1" w:styleId="207">
    <w:name w:val="small"/>
    <w:basedOn w:val="70"/>
    <w:qFormat/>
    <w:uiPriority w:val="0"/>
  </w:style>
  <w:style w:type="character" w:customStyle="1" w:styleId="208">
    <w:name w:val="图2 Char1"/>
    <w:qFormat/>
    <w:uiPriority w:val="0"/>
    <w:rPr>
      <w:rFonts w:ascii="黑体" w:hAnsi="宋体" w:eastAsia="黑体"/>
      <w:szCs w:val="21"/>
      <w:lang w:bidi="ar-SA"/>
    </w:rPr>
  </w:style>
  <w:style w:type="character" w:customStyle="1" w:styleId="209">
    <w:name w:val="正文Alt+ctrl+Z Char Char"/>
    <w:link w:val="210"/>
    <w:qFormat/>
    <w:uiPriority w:val="0"/>
    <w:rPr>
      <w:rFonts w:ascii="Times New Roman" w:hAnsi="Times New Roman" w:eastAsia="仿宋_GB2312"/>
      <w:kern w:val="2"/>
      <w:sz w:val="24"/>
      <w:szCs w:val="24"/>
    </w:rPr>
  </w:style>
  <w:style w:type="paragraph" w:customStyle="1" w:styleId="210">
    <w:name w:val="正文Alt+ctrl+Z"/>
    <w:basedOn w:val="1"/>
    <w:link w:val="209"/>
    <w:qFormat/>
    <w:uiPriority w:val="0"/>
    <w:pPr>
      <w:widowControl w:val="0"/>
      <w:spacing w:afterLines="50" w:line="360" w:lineRule="auto"/>
      <w:ind w:firstLine="200" w:firstLineChars="200"/>
    </w:pPr>
    <w:rPr>
      <w:rFonts w:eastAsia="仿宋_GB2312" w:cstheme="minorBidi"/>
      <w:sz w:val="24"/>
      <w:szCs w:val="24"/>
    </w:rPr>
  </w:style>
  <w:style w:type="character" w:customStyle="1" w:styleId="211">
    <w:name w:val="样式 纯文本普通文字 Char纯文本 Char普通文字 Char Char标题1 + Times New Roman ... Char1"/>
    <w:link w:val="212"/>
    <w:qFormat/>
    <w:uiPriority w:val="0"/>
    <w:rPr>
      <w:rFonts w:ascii="Times New Roman" w:hAnsi="Times New Roman" w:eastAsia="仿宋_GB2312"/>
      <w:sz w:val="24"/>
    </w:rPr>
  </w:style>
  <w:style w:type="paragraph" w:customStyle="1" w:styleId="212">
    <w:name w:val="样式 纯文本普通文字 Char纯文本 Char普通文字 Char Char标题1 + Times New Roman ..."/>
    <w:basedOn w:val="34"/>
    <w:link w:val="211"/>
    <w:uiPriority w:val="0"/>
    <w:pPr>
      <w:widowControl w:val="0"/>
      <w:autoSpaceDE w:val="0"/>
      <w:autoSpaceDN w:val="0"/>
      <w:adjustRightInd w:val="0"/>
      <w:spacing w:line="480" w:lineRule="atLeast"/>
      <w:ind w:firstLine="482"/>
    </w:pPr>
    <w:rPr>
      <w:rFonts w:hAnsi="Times New Roman" w:eastAsia="仿宋_GB2312" w:cstheme="minorBidi"/>
      <w:kern w:val="0"/>
      <w:sz w:val="24"/>
    </w:rPr>
  </w:style>
  <w:style w:type="character" w:customStyle="1" w:styleId="213">
    <w:name w:val="Char Char42"/>
    <w:qFormat/>
    <w:uiPriority w:val="0"/>
    <w:rPr>
      <w:rFonts w:eastAsia="仿宋_GB2312"/>
      <w:kern w:val="2"/>
      <w:sz w:val="18"/>
      <w:szCs w:val="18"/>
      <w:lang w:val="en-US" w:eastAsia="zh-CN" w:bidi="ar-SA"/>
    </w:rPr>
  </w:style>
  <w:style w:type="character" w:customStyle="1" w:styleId="214">
    <w:name w:val="HTML 预设格式 Char"/>
    <w:link w:val="60"/>
    <w:qFormat/>
    <w:uiPriority w:val="0"/>
    <w:rPr>
      <w:rFonts w:ascii="Arial" w:hAnsi="Arial"/>
      <w:sz w:val="24"/>
      <w:szCs w:val="24"/>
    </w:rPr>
  </w:style>
  <w:style w:type="character" w:customStyle="1" w:styleId="215">
    <w:name w:val="公式 Char Char"/>
    <w:link w:val="216"/>
    <w:qFormat/>
    <w:uiPriority w:val="0"/>
    <w:rPr>
      <w:kern w:val="2"/>
      <w:sz w:val="24"/>
      <w:szCs w:val="24"/>
    </w:rPr>
  </w:style>
  <w:style w:type="paragraph" w:customStyle="1" w:styleId="216">
    <w:name w:val="公式"/>
    <w:basedOn w:val="1"/>
    <w:link w:val="215"/>
    <w:uiPriority w:val="0"/>
    <w:pPr>
      <w:widowControl w:val="0"/>
      <w:spacing w:line="360" w:lineRule="auto"/>
      <w:jc w:val="center"/>
    </w:pPr>
    <w:rPr>
      <w:rFonts w:asciiTheme="minorHAnsi" w:hAnsiTheme="minorHAnsi" w:eastAsiaTheme="minorEastAsia" w:cstheme="minorBidi"/>
      <w:sz w:val="24"/>
      <w:szCs w:val="24"/>
    </w:rPr>
  </w:style>
  <w:style w:type="character" w:customStyle="1" w:styleId="217">
    <w:name w:val="正文 首行缩进:2字符 Char Char"/>
    <w:link w:val="218"/>
    <w:qFormat/>
    <w:uiPriority w:val="0"/>
    <w:rPr>
      <w:rFonts w:ascii="宋体" w:hAnsi="Times New Roman" w:eastAsia="仿宋_GB2312"/>
      <w:kern w:val="2"/>
      <w:sz w:val="24"/>
      <w:szCs w:val="24"/>
    </w:rPr>
  </w:style>
  <w:style w:type="paragraph" w:customStyle="1" w:styleId="218">
    <w:name w:val="正文 首行缩进:2字符"/>
    <w:basedOn w:val="1"/>
    <w:link w:val="217"/>
    <w:qFormat/>
    <w:uiPriority w:val="0"/>
    <w:pPr>
      <w:widowControl w:val="0"/>
      <w:spacing w:line="360" w:lineRule="auto"/>
      <w:ind w:firstLine="480" w:firstLineChars="200"/>
    </w:pPr>
    <w:rPr>
      <w:rFonts w:ascii="宋体" w:eastAsia="仿宋_GB2312" w:cstheme="minorBidi"/>
      <w:sz w:val="24"/>
      <w:szCs w:val="24"/>
    </w:rPr>
  </w:style>
  <w:style w:type="character" w:customStyle="1" w:styleId="219">
    <w:name w:val="Char Char302"/>
    <w:qFormat/>
    <w:uiPriority w:val="0"/>
    <w:rPr>
      <w:rFonts w:eastAsia="黑体"/>
      <w:b/>
      <w:bCs/>
      <w:kern w:val="44"/>
      <w:sz w:val="44"/>
      <w:szCs w:val="44"/>
      <w:lang w:val="en-US" w:eastAsia="zh-CN" w:bidi="ar-SA"/>
    </w:rPr>
  </w:style>
  <w:style w:type="character" w:customStyle="1" w:styleId="220">
    <w:name w:val="段 Char Char"/>
    <w:link w:val="221"/>
    <w:qFormat/>
    <w:uiPriority w:val="0"/>
    <w:rPr>
      <w:rFonts w:ascii="宋体" w:hAnsi="Times New Roman"/>
      <w:sz w:val="21"/>
    </w:rPr>
  </w:style>
  <w:style w:type="paragraph" w:customStyle="1" w:styleId="221">
    <w:name w:val="段"/>
    <w:link w:val="220"/>
    <w:qFormat/>
    <w:uiPriority w:val="99"/>
    <w:pPr>
      <w:autoSpaceDE w:val="0"/>
      <w:autoSpaceDN w:val="0"/>
      <w:ind w:firstLine="200" w:firstLineChars="200"/>
      <w:jc w:val="both"/>
    </w:pPr>
    <w:rPr>
      <w:rFonts w:ascii="宋体" w:hAnsi="Times New Roman" w:eastAsiaTheme="minorEastAsia" w:cstheme="minorBidi"/>
      <w:sz w:val="21"/>
      <w:lang w:val="en-US" w:eastAsia="zh-CN" w:bidi="ar-SA"/>
    </w:rPr>
  </w:style>
  <w:style w:type="character" w:customStyle="1" w:styleId="222">
    <w:name w:val="Char Char203"/>
    <w:qFormat/>
    <w:uiPriority w:val="0"/>
    <w:rPr>
      <w:rFonts w:eastAsia="仿宋_GB2312"/>
      <w:kern w:val="2"/>
      <w:sz w:val="28"/>
      <w:szCs w:val="28"/>
      <w:lang w:val="en-US" w:eastAsia="zh-CN"/>
    </w:rPr>
  </w:style>
  <w:style w:type="character" w:customStyle="1" w:styleId="223">
    <w:name w:val="正文缩进 Char"/>
    <w:link w:val="16"/>
    <w:qFormat/>
    <w:uiPriority w:val="99"/>
    <w:rPr>
      <w:rFonts w:ascii="宋体" w:hAnsi="Times New Roman" w:eastAsia="宋体" w:cs="Times New Roman"/>
      <w:sz w:val="34"/>
    </w:rPr>
  </w:style>
  <w:style w:type="character" w:customStyle="1" w:styleId="224">
    <w:name w:val="Char Char303"/>
    <w:qFormat/>
    <w:uiPriority w:val="0"/>
    <w:rPr>
      <w:rFonts w:eastAsia="黑体"/>
      <w:b/>
      <w:bCs/>
      <w:kern w:val="44"/>
      <w:sz w:val="44"/>
      <w:szCs w:val="44"/>
      <w:lang w:val="en-US" w:eastAsia="zh-CN" w:bidi="ar-SA"/>
    </w:rPr>
  </w:style>
  <w:style w:type="character" w:customStyle="1" w:styleId="225">
    <w:name w:val="正文新格式 Char Char Char Char Char Char"/>
    <w:link w:val="226"/>
    <w:qFormat/>
    <w:uiPriority w:val="0"/>
    <w:rPr>
      <w:color w:val="000000"/>
      <w:kern w:val="2"/>
      <w:sz w:val="28"/>
      <w:szCs w:val="28"/>
    </w:rPr>
  </w:style>
  <w:style w:type="paragraph" w:customStyle="1" w:styleId="226">
    <w:name w:val="正文新格式"/>
    <w:basedOn w:val="1"/>
    <w:link w:val="225"/>
    <w:qFormat/>
    <w:uiPriority w:val="0"/>
    <w:pPr>
      <w:widowControl w:val="0"/>
      <w:spacing w:line="0" w:lineRule="atLeast"/>
      <w:ind w:left="-105" w:leftChars="-50" w:right="-105" w:rightChars="-50"/>
    </w:pPr>
    <w:rPr>
      <w:rFonts w:asciiTheme="minorHAnsi" w:hAnsiTheme="minorHAnsi" w:eastAsiaTheme="minorEastAsia" w:cstheme="minorBidi"/>
      <w:color w:val="000000"/>
      <w:sz w:val="28"/>
      <w:szCs w:val="28"/>
    </w:rPr>
  </w:style>
  <w:style w:type="character" w:customStyle="1" w:styleId="227">
    <w:name w:val="无间隔 Char"/>
    <w:link w:val="228"/>
    <w:qFormat/>
    <w:uiPriority w:val="0"/>
    <w:rPr>
      <w:rFonts w:ascii="Times New Roman" w:hAnsi="Times New Roman"/>
      <w:kern w:val="2"/>
      <w:sz w:val="21"/>
      <w:szCs w:val="24"/>
    </w:rPr>
  </w:style>
  <w:style w:type="paragraph" w:styleId="228">
    <w:name w:val="No Spacing"/>
    <w:link w:val="227"/>
    <w:qFormat/>
    <w:uiPriority w:val="0"/>
    <w:pPr>
      <w:widowControl w:val="0"/>
      <w:ind w:firstLine="200" w:firstLineChars="200"/>
      <w:jc w:val="both"/>
    </w:pPr>
    <w:rPr>
      <w:rFonts w:ascii="Times New Roman" w:hAnsi="Times New Roman" w:eastAsiaTheme="minorEastAsia" w:cstheme="minorBidi"/>
      <w:kern w:val="2"/>
      <w:sz w:val="21"/>
      <w:szCs w:val="24"/>
      <w:lang w:val="en-US" w:eastAsia="zh-CN" w:bidi="ar-SA"/>
    </w:rPr>
  </w:style>
  <w:style w:type="character" w:customStyle="1" w:styleId="229">
    <w:name w:val="审定 Char Char Char Char Char Char"/>
    <w:qFormat/>
    <w:uiPriority w:val="0"/>
    <w:rPr>
      <w:rFonts w:ascii="宋体" w:eastAsia="宋体"/>
      <w:b/>
      <w:kern w:val="2"/>
      <w:sz w:val="32"/>
      <w:szCs w:val="28"/>
      <w:lang w:val="en-US" w:eastAsia="zh-CN" w:bidi="ar-SA"/>
    </w:rPr>
  </w:style>
  <w:style w:type="character" w:customStyle="1" w:styleId="230">
    <w:name w:val="WJH标题 3 Char"/>
    <w:qFormat/>
    <w:uiPriority w:val="0"/>
    <w:rPr>
      <w:rFonts w:eastAsia="宋体"/>
      <w:b/>
      <w:bCs/>
      <w:kern w:val="2"/>
      <w:sz w:val="32"/>
      <w:szCs w:val="32"/>
      <w:lang w:val="en-US" w:eastAsia="zh-CN" w:bidi="ar-SA"/>
    </w:rPr>
  </w:style>
  <w:style w:type="character" w:customStyle="1" w:styleId="231">
    <w:name w:val="标题 3 Char Char"/>
    <w:qFormat/>
    <w:uiPriority w:val="99"/>
    <w:rPr>
      <w:rFonts w:ascii="Times New Roman" w:hAnsi="Times New Roman" w:eastAsia="黑体"/>
      <w:b/>
      <w:bCs/>
      <w:kern w:val="2"/>
      <w:sz w:val="30"/>
      <w:szCs w:val="32"/>
    </w:rPr>
  </w:style>
  <w:style w:type="character" w:customStyle="1" w:styleId="232">
    <w:name w:val="font12-blue-bold1"/>
    <w:qFormat/>
    <w:uiPriority w:val="0"/>
    <w:rPr>
      <w:b/>
      <w:bCs/>
      <w:color w:val="0249A5"/>
      <w:sz w:val="18"/>
      <w:szCs w:val="18"/>
      <w:u w:val="none"/>
    </w:rPr>
  </w:style>
  <w:style w:type="character" w:customStyle="1" w:styleId="233">
    <w:name w:val="Char Char91"/>
    <w:qFormat/>
    <w:uiPriority w:val="0"/>
    <w:rPr>
      <w:b/>
      <w:bCs/>
      <w:kern w:val="44"/>
      <w:sz w:val="44"/>
      <w:szCs w:val="44"/>
    </w:rPr>
  </w:style>
  <w:style w:type="character" w:customStyle="1" w:styleId="234">
    <w:name w:val="正文首行缩进 2 Char"/>
    <w:link w:val="67"/>
    <w:qFormat/>
    <w:uiPriority w:val="99"/>
    <w:rPr>
      <w:rFonts w:ascii="仿宋_GB2312" w:hAnsi="Times New Roman" w:eastAsia="仿宋_GB2312"/>
      <w:kern w:val="2"/>
      <w:sz w:val="21"/>
      <w:szCs w:val="24"/>
    </w:rPr>
  </w:style>
  <w:style w:type="character" w:customStyle="1" w:styleId="235">
    <w:name w:val="glossaryitem"/>
    <w:qFormat/>
    <w:uiPriority w:val="0"/>
    <w:rPr>
      <w:u w:val="none"/>
    </w:rPr>
  </w:style>
  <w:style w:type="character" w:customStyle="1" w:styleId="236">
    <w:name w:val="报表 Char Char"/>
    <w:link w:val="237"/>
    <w:qFormat/>
    <w:uiPriority w:val="0"/>
    <w:rPr>
      <w:rFonts w:ascii="Times New Roman" w:hAnsi="Times New Roman" w:eastAsia="仿宋_GB2312"/>
      <w:kern w:val="2"/>
      <w:sz w:val="21"/>
      <w:szCs w:val="24"/>
    </w:rPr>
  </w:style>
  <w:style w:type="paragraph" w:customStyle="1" w:styleId="237">
    <w:name w:val="报表"/>
    <w:link w:val="236"/>
    <w:qFormat/>
    <w:uiPriority w:val="0"/>
    <w:rPr>
      <w:rFonts w:ascii="Times New Roman" w:hAnsi="Times New Roman" w:eastAsia="仿宋_GB2312" w:cstheme="minorBidi"/>
      <w:kern w:val="2"/>
      <w:sz w:val="21"/>
      <w:szCs w:val="24"/>
      <w:lang w:val="en-US" w:eastAsia="zh-CN" w:bidi="ar-SA"/>
    </w:rPr>
  </w:style>
  <w:style w:type="character" w:customStyle="1" w:styleId="238">
    <w:name w:val="Char Char8"/>
    <w:qFormat/>
    <w:uiPriority w:val="0"/>
    <w:rPr>
      <w:rFonts w:eastAsia="黑体"/>
      <w:bCs/>
      <w:kern w:val="2"/>
      <w:sz w:val="32"/>
      <w:szCs w:val="32"/>
      <w:lang w:val="en-US" w:eastAsia="zh-CN" w:bidi="ar-SA"/>
    </w:rPr>
  </w:style>
  <w:style w:type="character" w:customStyle="1" w:styleId="239">
    <w:name w:val="style51"/>
    <w:qFormat/>
    <w:uiPriority w:val="0"/>
    <w:rPr>
      <w:color w:val="FF0000"/>
      <w:sz w:val="18"/>
      <w:szCs w:val="18"/>
    </w:rPr>
  </w:style>
  <w:style w:type="character" w:customStyle="1" w:styleId="240">
    <w:name w:val="正文新格式 Char Char Char Char Char Char Char"/>
    <w:qFormat/>
    <w:uiPriority w:val="0"/>
    <w:rPr>
      <w:rFonts w:eastAsia="宋体"/>
      <w:kern w:val="2"/>
      <w:sz w:val="28"/>
      <w:szCs w:val="28"/>
      <w:lang w:val="en-US" w:eastAsia="zh-CN" w:bidi="ar-SA"/>
    </w:rPr>
  </w:style>
  <w:style w:type="character" w:customStyle="1" w:styleId="241">
    <w:name w:val="middle"/>
    <w:qFormat/>
    <w:uiPriority w:val="0"/>
  </w:style>
  <w:style w:type="character" w:customStyle="1" w:styleId="242">
    <w:name w:val="列出段落 Char"/>
    <w:link w:val="243"/>
    <w:qFormat/>
    <w:uiPriority w:val="0"/>
    <w:rPr>
      <w:rFonts w:ascii="Times New Roman" w:hAnsi="Times New Roman" w:eastAsia="仿宋_GB2312"/>
      <w:kern w:val="2"/>
      <w:sz w:val="28"/>
      <w:szCs w:val="24"/>
    </w:rPr>
  </w:style>
  <w:style w:type="paragraph" w:styleId="243">
    <w:name w:val="List Paragraph"/>
    <w:basedOn w:val="1"/>
    <w:link w:val="242"/>
    <w:qFormat/>
    <w:uiPriority w:val="0"/>
    <w:pPr>
      <w:widowControl w:val="0"/>
      <w:spacing w:line="360" w:lineRule="auto"/>
      <w:ind w:firstLine="420" w:firstLineChars="200"/>
    </w:pPr>
    <w:rPr>
      <w:rFonts w:eastAsia="仿宋_GB2312" w:cstheme="minorBidi"/>
      <w:sz w:val="28"/>
      <w:szCs w:val="24"/>
    </w:rPr>
  </w:style>
  <w:style w:type="character" w:customStyle="1" w:styleId="244">
    <w:name w:val="font2"/>
    <w:basedOn w:val="70"/>
    <w:qFormat/>
    <w:uiPriority w:val="0"/>
  </w:style>
  <w:style w:type="character" w:customStyle="1" w:styleId="245">
    <w:name w:val="ux1"/>
    <w:qFormat/>
    <w:uiPriority w:val="0"/>
    <w:rPr>
      <w:spacing w:val="360"/>
      <w:sz w:val="20"/>
      <w:szCs w:val="20"/>
    </w:rPr>
  </w:style>
  <w:style w:type="character" w:customStyle="1" w:styleId="246">
    <w:name w:val="Char Char62"/>
    <w:qFormat/>
    <w:uiPriority w:val="0"/>
    <w:rPr>
      <w:rFonts w:ascii="Arial" w:hAnsi="Arial" w:eastAsia="黑体"/>
      <w:b/>
      <w:bCs/>
      <w:kern w:val="2"/>
      <w:sz w:val="32"/>
      <w:szCs w:val="32"/>
      <w:lang w:val="en-US" w:eastAsia="zh-CN" w:bidi="ar-SA"/>
    </w:rPr>
  </w:style>
  <w:style w:type="character" w:customStyle="1" w:styleId="247">
    <w:name w:val="表头 Char Char"/>
    <w:link w:val="248"/>
    <w:qFormat/>
    <w:uiPriority w:val="0"/>
    <w:rPr>
      <w:rFonts w:ascii="Times New Roman" w:hAnsi="Times New Roman"/>
      <w:b/>
      <w:kern w:val="2"/>
      <w:sz w:val="28"/>
      <w:szCs w:val="28"/>
    </w:rPr>
  </w:style>
  <w:style w:type="paragraph" w:customStyle="1" w:styleId="248">
    <w:name w:val="表头"/>
    <w:basedOn w:val="99"/>
    <w:link w:val="247"/>
    <w:qFormat/>
    <w:uiPriority w:val="0"/>
    <w:pPr>
      <w:tabs>
        <w:tab w:val="clear" w:pos="2160"/>
      </w:tabs>
      <w:snapToGrid w:val="0"/>
      <w:spacing w:line="240" w:lineRule="auto"/>
      <w:textAlignment w:val="auto"/>
    </w:pPr>
    <w:rPr>
      <w:rFonts w:ascii="Times New Roman" w:eastAsiaTheme="minorEastAsia" w:cstheme="minorBidi"/>
      <w:b/>
      <w:kern w:val="2"/>
      <w:sz w:val="28"/>
      <w:szCs w:val="28"/>
    </w:rPr>
  </w:style>
  <w:style w:type="character" w:customStyle="1" w:styleId="249">
    <w:name w:val="font91"/>
    <w:qFormat/>
    <w:uiPriority w:val="0"/>
    <w:rPr>
      <w:spacing w:val="260"/>
      <w:sz w:val="18"/>
      <w:szCs w:val="18"/>
    </w:rPr>
  </w:style>
  <w:style w:type="character" w:customStyle="1" w:styleId="250">
    <w:name w:val="正文1 Char Char"/>
    <w:link w:val="99"/>
    <w:qFormat/>
    <w:uiPriority w:val="0"/>
    <w:rPr>
      <w:rFonts w:ascii="仿宋_GB2312" w:hAnsi="Times New Roman" w:eastAsia="仿宋_GB2312" w:cs="Times New Roman"/>
      <w:sz w:val="34"/>
    </w:rPr>
  </w:style>
  <w:style w:type="character" w:customStyle="1" w:styleId="251">
    <w:name w:val="样式 正文 +"/>
    <w:qFormat/>
    <w:uiPriority w:val="0"/>
    <w:rPr>
      <w:rFonts w:ascii="Times New Roman" w:hAnsi="Times New Roman" w:eastAsia="宋体"/>
      <w:kern w:val="0"/>
      <w:sz w:val="28"/>
      <w:szCs w:val="28"/>
    </w:rPr>
  </w:style>
  <w:style w:type="character" w:customStyle="1" w:styleId="252">
    <w:name w:val="large1"/>
    <w:qFormat/>
    <w:uiPriority w:val="0"/>
    <w:rPr>
      <w:rFonts w:hint="eastAsia" w:ascii="宋体" w:hAnsi="宋体" w:eastAsia="宋体"/>
      <w:sz w:val="22"/>
      <w:szCs w:val="22"/>
    </w:rPr>
  </w:style>
  <w:style w:type="character" w:customStyle="1" w:styleId="253">
    <w:name w:val="font61"/>
    <w:qFormat/>
    <w:uiPriority w:val="0"/>
    <w:rPr>
      <w:rFonts w:hint="eastAsia" w:ascii="宋体" w:hAnsi="宋体" w:eastAsia="宋体"/>
      <w:color w:val="000000"/>
      <w:sz w:val="20"/>
      <w:szCs w:val="20"/>
      <w:u w:val="none"/>
    </w:rPr>
  </w:style>
  <w:style w:type="character" w:customStyle="1" w:styleId="254">
    <w:name w:val="Char Char201"/>
    <w:qFormat/>
    <w:uiPriority w:val="0"/>
    <w:rPr>
      <w:rFonts w:eastAsia="仿宋_GB2312"/>
      <w:kern w:val="2"/>
      <w:sz w:val="28"/>
      <w:szCs w:val="28"/>
      <w:lang w:val="en-US" w:eastAsia="zh-CN"/>
    </w:rPr>
  </w:style>
  <w:style w:type="character" w:customStyle="1" w:styleId="255">
    <w:name w:val="unnamed11"/>
    <w:qFormat/>
    <w:uiPriority w:val="0"/>
    <w:rPr>
      <w:rFonts w:hint="default" w:ascii="ˎ̥" w:hAnsi="ˎ̥"/>
      <w:color w:val="333333"/>
      <w:sz w:val="24"/>
      <w:szCs w:val="24"/>
    </w:rPr>
  </w:style>
  <w:style w:type="character" w:customStyle="1" w:styleId="256">
    <w:name w:val="图表说明 Char Char"/>
    <w:link w:val="257"/>
    <w:qFormat/>
    <w:uiPriority w:val="0"/>
    <w:rPr>
      <w:rFonts w:ascii="Arial" w:hAnsi="Arial"/>
      <w:b/>
      <w:kern w:val="2"/>
      <w:sz w:val="21"/>
    </w:rPr>
  </w:style>
  <w:style w:type="paragraph" w:customStyle="1" w:styleId="257">
    <w:name w:val="图表说明"/>
    <w:link w:val="256"/>
    <w:qFormat/>
    <w:uiPriority w:val="0"/>
    <w:pPr>
      <w:spacing w:line="360" w:lineRule="auto"/>
      <w:jc w:val="center"/>
    </w:pPr>
    <w:rPr>
      <w:rFonts w:ascii="Arial" w:hAnsi="Arial" w:eastAsiaTheme="minorEastAsia" w:cstheme="minorBidi"/>
      <w:b/>
      <w:kern w:val="2"/>
      <w:sz w:val="21"/>
      <w:lang w:val="en-US" w:eastAsia="zh-CN" w:bidi="ar-SA"/>
    </w:rPr>
  </w:style>
  <w:style w:type="character" w:customStyle="1" w:styleId="258">
    <w:name w:val="z-窗体底端 字符"/>
    <w:link w:val="259"/>
    <w:qFormat/>
    <w:uiPriority w:val="0"/>
    <w:rPr>
      <w:rFonts w:ascii="Arial" w:hAnsi="Arial" w:cs="Arial"/>
      <w:vanish/>
      <w:sz w:val="16"/>
      <w:szCs w:val="16"/>
    </w:rPr>
  </w:style>
  <w:style w:type="paragraph" w:customStyle="1" w:styleId="259">
    <w:name w:val="z-窗体底端1"/>
    <w:basedOn w:val="1"/>
    <w:next w:val="1"/>
    <w:link w:val="258"/>
    <w:uiPriority w:val="0"/>
    <w:pPr>
      <w:pBdr>
        <w:top w:val="single" w:color="auto" w:sz="6" w:space="1"/>
      </w:pBdr>
      <w:jc w:val="center"/>
    </w:pPr>
    <w:rPr>
      <w:rFonts w:ascii="Arial" w:hAnsi="Arial" w:cs="Arial" w:eastAsiaTheme="minorEastAsia"/>
      <w:vanish/>
      <w:kern w:val="0"/>
      <w:sz w:val="16"/>
      <w:szCs w:val="16"/>
    </w:rPr>
  </w:style>
  <w:style w:type="character" w:customStyle="1" w:styleId="260">
    <w:name w:val="font01"/>
    <w:qFormat/>
    <w:uiPriority w:val="0"/>
    <w:rPr>
      <w:rFonts w:hint="eastAsia" w:ascii="宋体" w:hAnsi="宋体" w:eastAsia="宋体"/>
      <w:color w:val="000000"/>
      <w:sz w:val="20"/>
      <w:szCs w:val="20"/>
      <w:u w:val="none"/>
    </w:rPr>
  </w:style>
  <w:style w:type="character" w:customStyle="1" w:styleId="261">
    <w:name w:val="标题 1（1） Char1"/>
    <w:qFormat/>
    <w:uiPriority w:val="0"/>
    <w:rPr>
      <w:rFonts w:eastAsia="宋体"/>
      <w:b/>
      <w:bCs/>
      <w:kern w:val="44"/>
      <w:sz w:val="44"/>
      <w:szCs w:val="44"/>
      <w:lang w:val="en-US" w:eastAsia="zh-CN" w:bidi="ar-SA"/>
    </w:rPr>
  </w:style>
  <w:style w:type="character" w:customStyle="1" w:styleId="262">
    <w:name w:val="表格（小四号字） Char Char"/>
    <w:link w:val="263"/>
    <w:qFormat/>
    <w:uiPriority w:val="0"/>
    <w:rPr>
      <w:rFonts w:ascii="宋体" w:hAnsi="Times New Roman" w:eastAsia="仿宋_GB2312"/>
      <w:kern w:val="2"/>
      <w:sz w:val="24"/>
      <w:szCs w:val="24"/>
    </w:rPr>
  </w:style>
  <w:style w:type="paragraph" w:customStyle="1" w:styleId="263">
    <w:name w:val="表格（小四号字）"/>
    <w:basedOn w:val="1"/>
    <w:link w:val="262"/>
    <w:qFormat/>
    <w:uiPriority w:val="0"/>
    <w:pPr>
      <w:keepNext/>
      <w:widowControl w:val="0"/>
      <w:adjustRightInd w:val="0"/>
      <w:spacing w:before="40" w:after="40"/>
      <w:jc w:val="center"/>
      <w:textAlignment w:val="baseline"/>
    </w:pPr>
    <w:rPr>
      <w:rFonts w:ascii="宋体" w:eastAsia="仿宋_GB2312" w:cstheme="minorBidi"/>
      <w:sz w:val="24"/>
      <w:szCs w:val="24"/>
    </w:rPr>
  </w:style>
  <w:style w:type="character" w:customStyle="1" w:styleId="264">
    <w:name w:val="样式 小四1"/>
    <w:qFormat/>
    <w:uiPriority w:val="0"/>
    <w:rPr>
      <w:sz w:val="28"/>
      <w:szCs w:val="28"/>
    </w:rPr>
  </w:style>
  <w:style w:type="character" w:customStyle="1" w:styleId="265">
    <w:name w:val="Char Char931"/>
    <w:qFormat/>
    <w:uiPriority w:val="0"/>
    <w:rPr>
      <w:b/>
      <w:bCs/>
      <w:kern w:val="44"/>
      <w:sz w:val="44"/>
      <w:szCs w:val="44"/>
    </w:rPr>
  </w:style>
  <w:style w:type="character" w:customStyle="1" w:styleId="266">
    <w:name w:val="Char Char3"/>
    <w:qFormat/>
    <w:uiPriority w:val="0"/>
    <w:rPr>
      <w:rFonts w:ascii="宋体" w:hAnsi="Courier New" w:eastAsia="宋体" w:cs="Courier New"/>
      <w:kern w:val="2"/>
      <w:sz w:val="21"/>
      <w:szCs w:val="21"/>
      <w:lang w:val="en-US" w:eastAsia="zh-CN" w:bidi="ar-SA"/>
    </w:rPr>
  </w:style>
  <w:style w:type="character" w:customStyle="1" w:styleId="267">
    <w:name w:val="正文文本缩进 2 Char1"/>
    <w:qFormat/>
    <w:uiPriority w:val="0"/>
    <w:rPr>
      <w:rFonts w:ascii="Times New Roman" w:hAnsi="Times New Roman" w:eastAsia="仿宋_GB2312"/>
      <w:kern w:val="2"/>
      <w:sz w:val="28"/>
      <w:szCs w:val="24"/>
    </w:rPr>
  </w:style>
  <w:style w:type="character" w:customStyle="1" w:styleId="268">
    <w:name w:val="正文新格式 Char Char"/>
    <w:qFormat/>
    <w:uiPriority w:val="0"/>
    <w:rPr>
      <w:rFonts w:eastAsia="宋体"/>
      <w:kern w:val="2"/>
      <w:sz w:val="28"/>
      <w:szCs w:val="28"/>
      <w:lang w:val="en-US" w:eastAsia="zh-CN" w:bidi="ar-SA"/>
    </w:rPr>
  </w:style>
  <w:style w:type="character" w:customStyle="1" w:styleId="269">
    <w:name w:val="Char Char12"/>
    <w:qFormat/>
    <w:uiPriority w:val="0"/>
    <w:rPr>
      <w:rFonts w:ascii="Times New Roman" w:hAnsi="Times New Roman" w:eastAsia="宋体" w:cs="Times New Roman"/>
      <w:sz w:val="18"/>
      <w:szCs w:val="18"/>
    </w:rPr>
  </w:style>
  <w:style w:type="character" w:customStyle="1" w:styleId="270">
    <w:name w:val="huei12b1"/>
    <w:qFormat/>
    <w:uiPriority w:val="0"/>
    <w:rPr>
      <w:b/>
      <w:bCs/>
      <w:color w:val="333333"/>
      <w:sz w:val="18"/>
      <w:szCs w:val="18"/>
    </w:rPr>
  </w:style>
  <w:style w:type="character" w:customStyle="1" w:styleId="271">
    <w:name w:val="Char Char41"/>
    <w:qFormat/>
    <w:uiPriority w:val="0"/>
    <w:rPr>
      <w:rFonts w:eastAsia="仿宋_GB2312"/>
      <w:kern w:val="2"/>
      <w:sz w:val="18"/>
      <w:szCs w:val="18"/>
      <w:lang w:val="en-US" w:eastAsia="zh-CN" w:bidi="ar-SA"/>
    </w:rPr>
  </w:style>
  <w:style w:type="character" w:customStyle="1" w:styleId="272">
    <w:name w:val="g_t_10 c08"/>
    <w:basedOn w:val="70"/>
    <w:qFormat/>
    <w:uiPriority w:val="0"/>
  </w:style>
  <w:style w:type="character" w:customStyle="1" w:styleId="273">
    <w:name w:val="样式 样式 正文文本 + (中文) 宋体 + 首行缩进:  2 字符 Char Char"/>
    <w:link w:val="274"/>
    <w:qFormat/>
    <w:uiPriority w:val="0"/>
    <w:rPr>
      <w:rFonts w:ascii="Times New Roman" w:hAnsi="Times New Roman" w:cs="宋体"/>
      <w:kern w:val="2"/>
      <w:sz w:val="28"/>
    </w:rPr>
  </w:style>
  <w:style w:type="paragraph" w:customStyle="1" w:styleId="274">
    <w:name w:val="样式 样式 正文文本 + (中文) 宋体 + 首行缩进:  2 字符"/>
    <w:basedOn w:val="1"/>
    <w:link w:val="273"/>
    <w:qFormat/>
    <w:uiPriority w:val="0"/>
    <w:pPr>
      <w:widowControl w:val="0"/>
      <w:spacing w:line="360" w:lineRule="auto"/>
      <w:ind w:firstLine="560" w:firstLineChars="200"/>
    </w:pPr>
    <w:rPr>
      <w:rFonts w:cs="宋体" w:eastAsiaTheme="minorEastAsia"/>
      <w:sz w:val="28"/>
    </w:rPr>
  </w:style>
  <w:style w:type="character" w:customStyle="1" w:styleId="275">
    <w:name w:val="正文3 Char Char"/>
    <w:link w:val="149"/>
    <w:qFormat/>
    <w:uiPriority w:val="0"/>
    <w:rPr>
      <w:rFonts w:ascii="Times New Roman" w:hAnsi="Times New Roman" w:cs="宋体"/>
      <w:kern w:val="44"/>
      <w:sz w:val="24"/>
      <w:szCs w:val="24"/>
    </w:rPr>
  </w:style>
  <w:style w:type="character" w:customStyle="1" w:styleId="276">
    <w:name w:val="Char Char301"/>
    <w:qFormat/>
    <w:uiPriority w:val="0"/>
    <w:rPr>
      <w:rFonts w:eastAsia="黑体"/>
      <w:b/>
      <w:bCs/>
      <w:kern w:val="44"/>
      <w:sz w:val="44"/>
      <w:szCs w:val="44"/>
      <w:lang w:val="en-US" w:eastAsia="zh-CN" w:bidi="ar-SA"/>
    </w:rPr>
  </w:style>
  <w:style w:type="character" w:customStyle="1" w:styleId="277">
    <w:name w:val="articlelink"/>
    <w:qFormat/>
    <w:uiPriority w:val="0"/>
    <w:rPr>
      <w:shd w:val="clear" w:color="auto" w:fill="E40001"/>
    </w:rPr>
  </w:style>
  <w:style w:type="character" w:customStyle="1" w:styleId="278">
    <w:name w:val="公式2 Char Char"/>
    <w:link w:val="279"/>
    <w:qFormat/>
    <w:uiPriority w:val="0"/>
    <w:rPr>
      <w:rFonts w:ascii="Times New Roman" w:hAnsi="Times New Roman" w:cs="宋体"/>
      <w:kern w:val="44"/>
      <w:sz w:val="24"/>
      <w:szCs w:val="24"/>
    </w:rPr>
  </w:style>
  <w:style w:type="paragraph" w:customStyle="1" w:styleId="279">
    <w:name w:val="公式2"/>
    <w:basedOn w:val="149"/>
    <w:link w:val="278"/>
    <w:qFormat/>
    <w:uiPriority w:val="0"/>
    <w:pPr>
      <w:ind w:firstLine="720" w:firstLineChars="300"/>
    </w:pPr>
  </w:style>
  <w:style w:type="character" w:customStyle="1" w:styleId="280">
    <w:name w:val="txt1"/>
    <w:qFormat/>
    <w:uiPriority w:val="0"/>
    <w:rPr>
      <w:rFonts w:hint="default"/>
      <w:sz w:val="18"/>
      <w:szCs w:val="18"/>
    </w:rPr>
  </w:style>
  <w:style w:type="character" w:customStyle="1" w:styleId="281">
    <w:name w:val="样式 仿宋_GB2312 四号 行距: 固定值 25 磅 Char Char"/>
    <w:link w:val="282"/>
    <w:qFormat/>
    <w:uiPriority w:val="0"/>
    <w:rPr>
      <w:kern w:val="2"/>
      <w:sz w:val="28"/>
      <w:szCs w:val="28"/>
    </w:rPr>
  </w:style>
  <w:style w:type="paragraph" w:customStyle="1" w:styleId="282">
    <w:name w:val="样式 仿宋_GB2312 四号 行距: 固定值 25 磅"/>
    <w:basedOn w:val="1"/>
    <w:link w:val="281"/>
    <w:qFormat/>
    <w:uiPriority w:val="0"/>
    <w:pPr>
      <w:widowControl w:val="0"/>
      <w:spacing w:beforeLines="50" w:line="360" w:lineRule="auto"/>
      <w:ind w:firstLine="560" w:firstLineChars="200"/>
    </w:pPr>
    <w:rPr>
      <w:rFonts w:asciiTheme="minorHAnsi" w:hAnsiTheme="minorHAnsi" w:eastAsiaTheme="minorEastAsia" w:cstheme="minorBidi"/>
      <w:sz w:val="28"/>
      <w:szCs w:val="28"/>
    </w:rPr>
  </w:style>
  <w:style w:type="character" w:customStyle="1" w:styleId="283">
    <w:name w:val="Char Char1"/>
    <w:qFormat/>
    <w:uiPriority w:val="0"/>
    <w:rPr>
      <w:rFonts w:ascii="Times New Roman" w:hAnsi="Times New Roman" w:eastAsia="宋体" w:cs="Times New Roman"/>
      <w:sz w:val="18"/>
      <w:szCs w:val="18"/>
    </w:rPr>
  </w:style>
  <w:style w:type="character" w:customStyle="1" w:styleId="284">
    <w:name w:val="mainfont"/>
    <w:qFormat/>
    <w:uiPriority w:val="0"/>
  </w:style>
  <w:style w:type="character" w:customStyle="1" w:styleId="285">
    <w:name w:val="r1"/>
    <w:qFormat/>
    <w:uiPriority w:val="0"/>
    <w:rPr>
      <w:sz w:val="26"/>
      <w:szCs w:val="26"/>
    </w:rPr>
  </w:style>
  <w:style w:type="character" w:customStyle="1" w:styleId="286">
    <w:name w:val="font31"/>
    <w:qFormat/>
    <w:uiPriority w:val="0"/>
    <w:rPr>
      <w:rFonts w:hint="eastAsia" w:ascii="宋体" w:hAnsi="宋体" w:eastAsia="宋体"/>
      <w:color w:val="000000"/>
      <w:sz w:val="22"/>
      <w:szCs w:val="22"/>
      <w:u w:val="none"/>
    </w:rPr>
  </w:style>
  <w:style w:type="character" w:customStyle="1" w:styleId="287">
    <w:name w:val="Char Char93"/>
    <w:qFormat/>
    <w:uiPriority w:val="0"/>
    <w:rPr>
      <w:b/>
      <w:bCs/>
      <w:kern w:val="44"/>
      <w:sz w:val="44"/>
      <w:szCs w:val="44"/>
    </w:rPr>
  </w:style>
  <w:style w:type="character" w:customStyle="1" w:styleId="288">
    <w:name w:val="title_emph1"/>
    <w:qFormat/>
    <w:uiPriority w:val="0"/>
    <w:rPr>
      <w:rFonts w:hint="default" w:ascii="Arial" w:hAnsi="Arial" w:cs="Arial"/>
      <w:b/>
      <w:bCs/>
      <w:sz w:val="18"/>
      <w:szCs w:val="18"/>
    </w:rPr>
  </w:style>
  <w:style w:type="character" w:customStyle="1" w:styleId="289">
    <w:name w:val="Char Char5"/>
    <w:qFormat/>
    <w:uiPriority w:val="0"/>
    <w:rPr>
      <w:rFonts w:ascii="宋体" w:hAnsi="宋体" w:eastAsia="宋体"/>
      <w:sz w:val="24"/>
      <w:lang w:val="en-US" w:eastAsia="zh-CN" w:bidi="ar-SA"/>
    </w:rPr>
  </w:style>
  <w:style w:type="character" w:customStyle="1" w:styleId="290">
    <w:name w:val="Char Char202"/>
    <w:qFormat/>
    <w:uiPriority w:val="0"/>
    <w:rPr>
      <w:rFonts w:eastAsia="仿宋_GB2312"/>
      <w:kern w:val="2"/>
      <w:sz w:val="28"/>
      <w:szCs w:val="28"/>
      <w:lang w:val="en-US" w:eastAsia="zh-CN"/>
    </w:rPr>
  </w:style>
  <w:style w:type="character" w:customStyle="1" w:styleId="291">
    <w:name w:val="apple-style-span"/>
    <w:qFormat/>
    <w:uiPriority w:val="0"/>
  </w:style>
  <w:style w:type="character" w:customStyle="1" w:styleId="292">
    <w:name w:val="标题 1 Char1"/>
    <w:qFormat/>
    <w:uiPriority w:val="99"/>
    <w:rPr>
      <w:rFonts w:eastAsia="宋体"/>
      <w:b/>
      <w:bCs/>
      <w:kern w:val="44"/>
      <w:sz w:val="44"/>
      <w:szCs w:val="44"/>
      <w:lang w:val="en-US" w:eastAsia="zh-CN" w:bidi="ar-SA"/>
    </w:rPr>
  </w:style>
  <w:style w:type="character" w:customStyle="1" w:styleId="293">
    <w:name w:val="标题 8 Char1"/>
    <w:qFormat/>
    <w:uiPriority w:val="0"/>
    <w:rPr>
      <w:rFonts w:ascii="Arial" w:hAnsi="Arial" w:eastAsia="黑体"/>
      <w:kern w:val="2"/>
      <w:sz w:val="24"/>
      <w:szCs w:val="24"/>
      <w:lang w:val="en-US" w:eastAsia="zh-CN" w:bidi="ar-SA"/>
    </w:rPr>
  </w:style>
  <w:style w:type="character" w:customStyle="1" w:styleId="294">
    <w:name w:val="Char Char20"/>
    <w:qFormat/>
    <w:uiPriority w:val="0"/>
    <w:rPr>
      <w:rFonts w:eastAsia="仿宋_GB2312"/>
      <w:kern w:val="2"/>
      <w:sz w:val="28"/>
      <w:szCs w:val="28"/>
      <w:lang w:val="en-US" w:eastAsia="zh-CN"/>
    </w:rPr>
  </w:style>
  <w:style w:type="character" w:customStyle="1" w:styleId="295">
    <w:name w:val="正文2 Char Char"/>
    <w:link w:val="296"/>
    <w:qFormat/>
    <w:uiPriority w:val="0"/>
    <w:rPr>
      <w:rFonts w:ascii="宋体" w:hAnsi="Courier New" w:eastAsia="仿宋_GB2312"/>
      <w:kern w:val="2"/>
      <w:sz w:val="24"/>
      <w:szCs w:val="24"/>
    </w:rPr>
  </w:style>
  <w:style w:type="paragraph" w:customStyle="1" w:styleId="296">
    <w:name w:val="正文2"/>
    <w:basedOn w:val="1"/>
    <w:next w:val="34"/>
    <w:link w:val="295"/>
    <w:qFormat/>
    <w:uiPriority w:val="0"/>
    <w:pPr>
      <w:widowControl w:val="0"/>
      <w:tabs>
        <w:tab w:val="left" w:pos="432"/>
      </w:tabs>
      <w:ind w:left="432" w:hanging="432"/>
    </w:pPr>
    <w:rPr>
      <w:rFonts w:ascii="宋体" w:hAnsi="Courier New" w:eastAsia="仿宋_GB2312" w:cstheme="minorBidi"/>
      <w:sz w:val="24"/>
      <w:szCs w:val="24"/>
    </w:rPr>
  </w:style>
  <w:style w:type="character" w:customStyle="1" w:styleId="297">
    <w:name w:val="编号Alt+Ctrl+B Char Char"/>
    <w:link w:val="298"/>
    <w:qFormat/>
    <w:uiPriority w:val="0"/>
    <w:rPr>
      <w:rFonts w:eastAsia="仿宋_GB2312"/>
      <w:kern w:val="2"/>
      <w:sz w:val="24"/>
      <w:szCs w:val="24"/>
    </w:rPr>
  </w:style>
  <w:style w:type="paragraph" w:customStyle="1" w:styleId="298">
    <w:name w:val="编号Alt+Ctrl+B"/>
    <w:basedOn w:val="1"/>
    <w:link w:val="297"/>
    <w:qFormat/>
    <w:uiPriority w:val="0"/>
    <w:pPr>
      <w:widowControl w:val="0"/>
      <w:tabs>
        <w:tab w:val="left" w:pos="432"/>
      </w:tabs>
      <w:spacing w:afterLines="50"/>
      <w:ind w:left="432" w:hanging="432"/>
    </w:pPr>
    <w:rPr>
      <w:rFonts w:eastAsia="仿宋_GB2312" w:asciiTheme="minorHAnsi" w:hAnsiTheme="minorHAnsi" w:cstheme="minorBidi"/>
      <w:sz w:val="24"/>
      <w:szCs w:val="24"/>
    </w:rPr>
  </w:style>
  <w:style w:type="character" w:customStyle="1" w:styleId="299">
    <w:name w:val="text12-221"/>
    <w:qFormat/>
    <w:uiPriority w:val="0"/>
    <w:rPr>
      <w:sz w:val="16"/>
      <w:szCs w:val="16"/>
    </w:rPr>
  </w:style>
  <w:style w:type="character" w:customStyle="1" w:styleId="300">
    <w:name w:val="样式3 Char1"/>
    <w:link w:val="301"/>
    <w:qFormat/>
    <w:uiPriority w:val="0"/>
    <w:rPr>
      <w:rFonts w:ascii="宋体" w:hAnsi="宋体" w:eastAsia="仿宋_GB2312"/>
      <w:bCs/>
      <w:kern w:val="2"/>
      <w:sz w:val="28"/>
      <w:szCs w:val="28"/>
    </w:rPr>
  </w:style>
  <w:style w:type="paragraph" w:customStyle="1" w:styleId="301">
    <w:name w:val="样式3"/>
    <w:basedOn w:val="6"/>
    <w:link w:val="300"/>
    <w:qFormat/>
    <w:uiPriority w:val="0"/>
    <w:pPr>
      <w:tabs>
        <w:tab w:val="left" w:pos="1008"/>
        <w:tab w:val="left" w:pos="2740"/>
      </w:tabs>
      <w:spacing w:before="0" w:after="0" w:line="440" w:lineRule="exact"/>
    </w:pPr>
    <w:rPr>
      <w:rFonts w:ascii="宋体" w:hAnsi="宋体" w:eastAsia="仿宋_GB2312" w:cstheme="minorBidi"/>
      <w:b w:val="0"/>
    </w:rPr>
  </w:style>
  <w:style w:type="character" w:customStyle="1" w:styleId="302">
    <w:name w:val="正文文本 2 Char1"/>
    <w:qFormat/>
    <w:uiPriority w:val="99"/>
    <w:rPr>
      <w:rFonts w:ascii="Times New Roman" w:hAnsi="Times New Roman" w:eastAsia="仿宋_GB2312"/>
      <w:kern w:val="2"/>
      <w:sz w:val="28"/>
      <w:szCs w:val="24"/>
    </w:rPr>
  </w:style>
  <w:style w:type="character" w:customStyle="1" w:styleId="303">
    <w:name w:val="Char Char2"/>
    <w:qFormat/>
    <w:uiPriority w:val="0"/>
    <w:rPr>
      <w:rFonts w:ascii="宋体" w:hAnsi="宋体" w:eastAsia="宋体"/>
      <w:sz w:val="24"/>
      <w:lang w:val="en-US" w:eastAsia="zh-CN" w:bidi="ar-SA"/>
    </w:rPr>
  </w:style>
  <w:style w:type="character" w:customStyle="1" w:styleId="304">
    <w:name w:val="Char Char11"/>
    <w:qFormat/>
    <w:uiPriority w:val="0"/>
    <w:rPr>
      <w:rFonts w:ascii="Times New Roman" w:hAnsi="Times New Roman" w:eastAsia="宋体" w:cs="Times New Roman"/>
      <w:sz w:val="18"/>
      <w:szCs w:val="18"/>
    </w:rPr>
  </w:style>
  <w:style w:type="character" w:customStyle="1" w:styleId="305">
    <w:name w:val="font12-red-bold1"/>
    <w:qFormat/>
    <w:uiPriority w:val="0"/>
    <w:rPr>
      <w:b/>
      <w:bCs/>
      <w:color w:val="FF4A00"/>
      <w:sz w:val="18"/>
      <w:szCs w:val="18"/>
      <w:u w:val="none"/>
    </w:rPr>
  </w:style>
  <w:style w:type="character" w:customStyle="1" w:styleId="306">
    <w:name w:val="txt"/>
    <w:basedOn w:val="70"/>
    <w:qFormat/>
    <w:uiPriority w:val="0"/>
  </w:style>
  <w:style w:type="character" w:customStyle="1" w:styleId="307">
    <w:name w:val="超级链接"/>
    <w:qFormat/>
    <w:uiPriority w:val="0"/>
    <w:rPr>
      <w:color w:val="0000FF"/>
      <w:u w:val="single" w:color="0000FF"/>
    </w:rPr>
  </w:style>
  <w:style w:type="character" w:customStyle="1" w:styleId="308">
    <w:name w:val="扉页2"/>
    <w:qFormat/>
    <w:uiPriority w:val="0"/>
    <w:rPr>
      <w:rFonts w:eastAsia="宋体"/>
      <w:b/>
      <w:bCs/>
      <w:sz w:val="28"/>
    </w:rPr>
  </w:style>
  <w:style w:type="character" w:customStyle="1" w:styleId="309">
    <w:name w:val="样式 正文缩进 + 首行缩进:  2 字符 Char Char"/>
    <w:link w:val="310"/>
    <w:qFormat/>
    <w:uiPriority w:val="0"/>
    <w:rPr>
      <w:rFonts w:ascii="Times New Roman" w:hAnsi="Times New Roman" w:eastAsia="仿宋_GB2312"/>
      <w:kern w:val="2"/>
      <w:sz w:val="24"/>
    </w:rPr>
  </w:style>
  <w:style w:type="paragraph" w:customStyle="1" w:styleId="310">
    <w:name w:val="样式 正文缩进 + 首行缩进:  2 字符"/>
    <w:basedOn w:val="16"/>
    <w:link w:val="309"/>
    <w:qFormat/>
    <w:uiPriority w:val="0"/>
    <w:pPr>
      <w:numPr>
        <w:ilvl w:val="0"/>
        <w:numId w:val="0"/>
      </w:numPr>
      <w:autoSpaceDE/>
      <w:autoSpaceDN/>
      <w:adjustRightInd/>
      <w:spacing w:line="360" w:lineRule="auto"/>
      <w:ind w:firstLine="200" w:firstLineChars="200"/>
      <w:jc w:val="both"/>
      <w:textAlignment w:val="auto"/>
    </w:pPr>
    <w:rPr>
      <w:rFonts w:ascii="Times New Roman" w:eastAsia="仿宋_GB2312" w:cstheme="minorBidi"/>
      <w:kern w:val="2"/>
      <w:sz w:val="24"/>
    </w:rPr>
  </w:style>
  <w:style w:type="character" w:customStyle="1" w:styleId="311">
    <w:name w:val="search1"/>
    <w:qFormat/>
    <w:uiPriority w:val="0"/>
    <w:rPr>
      <w:rFonts w:hint="default"/>
      <w:spacing w:val="300"/>
      <w:sz w:val="18"/>
      <w:szCs w:val="18"/>
    </w:rPr>
  </w:style>
  <w:style w:type="character" w:customStyle="1" w:styleId="312">
    <w:name w:val="项目行Alt+Ctrl+X Char Char"/>
    <w:link w:val="313"/>
    <w:qFormat/>
    <w:uiPriority w:val="0"/>
    <w:rPr>
      <w:rFonts w:ascii="Times New Roman" w:hAnsi="Times New Roman" w:eastAsia="仿宋_GB2312"/>
      <w:kern w:val="2"/>
      <w:sz w:val="24"/>
      <w:szCs w:val="24"/>
    </w:rPr>
  </w:style>
  <w:style w:type="paragraph" w:customStyle="1" w:styleId="313">
    <w:name w:val="项目行Alt+Ctrl+X"/>
    <w:basedOn w:val="298"/>
    <w:link w:val="312"/>
    <w:qFormat/>
    <w:uiPriority w:val="0"/>
    <w:pPr>
      <w:tabs>
        <w:tab w:val="left" w:pos="840"/>
        <w:tab w:val="clear" w:pos="432"/>
      </w:tabs>
      <w:ind w:left="840" w:hanging="420"/>
    </w:pPr>
    <w:rPr>
      <w:rFonts w:ascii="Times New Roman" w:hAnsi="Times New Roman"/>
    </w:rPr>
  </w:style>
  <w:style w:type="character" w:customStyle="1" w:styleId="314">
    <w:name w:val="Char Char43"/>
    <w:qFormat/>
    <w:uiPriority w:val="0"/>
    <w:rPr>
      <w:rFonts w:eastAsia="仿宋_GB2312"/>
      <w:kern w:val="2"/>
      <w:sz w:val="18"/>
      <w:szCs w:val="18"/>
      <w:lang w:val="en-US" w:eastAsia="zh-CN" w:bidi="ar-SA"/>
    </w:rPr>
  </w:style>
  <w:style w:type="character" w:customStyle="1" w:styleId="315">
    <w:name w:val="尾注文本 Char"/>
    <w:link w:val="39"/>
    <w:qFormat/>
    <w:uiPriority w:val="0"/>
    <w:rPr>
      <w:rFonts w:ascii="Times New Roman" w:hAnsi="Times New Roman" w:eastAsia="仿宋_GB2312"/>
      <w:kern w:val="2"/>
      <w:sz w:val="24"/>
      <w:szCs w:val="24"/>
    </w:rPr>
  </w:style>
  <w:style w:type="character" w:customStyle="1" w:styleId="316">
    <w:name w:val="书籍标题1"/>
    <w:qFormat/>
    <w:uiPriority w:val="0"/>
    <w:rPr>
      <w:b/>
      <w:bCs/>
      <w:smallCaps/>
      <w:spacing w:val="5"/>
    </w:rPr>
  </w:style>
  <w:style w:type="character" w:customStyle="1" w:styleId="317">
    <w:name w:val="标题 Char"/>
    <w:link w:val="64"/>
    <w:qFormat/>
    <w:uiPriority w:val="99"/>
    <w:rPr>
      <w:rFonts w:ascii="Arial" w:hAnsi="Arial" w:eastAsia="仿宋_GB2312"/>
      <w:sz w:val="30"/>
      <w:lang w:val="en-US" w:eastAsia="zh-CN"/>
    </w:rPr>
  </w:style>
  <w:style w:type="character" w:customStyle="1" w:styleId="318">
    <w:name w:val="font101"/>
    <w:qFormat/>
    <w:uiPriority w:val="0"/>
    <w:rPr>
      <w:b/>
      <w:bCs/>
      <w:sz w:val="24"/>
      <w:szCs w:val="24"/>
    </w:rPr>
  </w:style>
  <w:style w:type="character" w:customStyle="1" w:styleId="319">
    <w:name w:val="style731"/>
    <w:qFormat/>
    <w:uiPriority w:val="0"/>
    <w:rPr>
      <w:sz w:val="24"/>
      <w:szCs w:val="24"/>
    </w:rPr>
  </w:style>
  <w:style w:type="character" w:customStyle="1" w:styleId="320">
    <w:name w:val="00正文 Char"/>
    <w:link w:val="321"/>
    <w:qFormat/>
    <w:uiPriority w:val="0"/>
    <w:rPr>
      <w:sz w:val="24"/>
      <w:szCs w:val="21"/>
    </w:rPr>
  </w:style>
  <w:style w:type="paragraph" w:customStyle="1" w:styleId="321">
    <w:name w:val="00正文"/>
    <w:basedOn w:val="1"/>
    <w:link w:val="320"/>
    <w:qFormat/>
    <w:uiPriority w:val="0"/>
    <w:pPr>
      <w:widowControl w:val="0"/>
      <w:spacing w:line="520" w:lineRule="exact"/>
      <w:ind w:firstLine="200" w:firstLineChars="200"/>
    </w:pPr>
    <w:rPr>
      <w:rFonts w:asciiTheme="minorHAnsi" w:hAnsiTheme="minorHAnsi" w:eastAsiaTheme="minorEastAsia" w:cstheme="minorBidi"/>
      <w:kern w:val="0"/>
      <w:sz w:val="24"/>
      <w:szCs w:val="21"/>
    </w:rPr>
  </w:style>
  <w:style w:type="paragraph" w:customStyle="1" w:styleId="322">
    <w:name w:val="样式 样式 样式 正文文本缩进 2 + 左侧:  2 字符 首行缩进:  2 字符 段前: 0.5 行 段后: 0.5 行 + ..."/>
    <w:basedOn w:val="1"/>
    <w:qFormat/>
    <w:uiPriority w:val="0"/>
    <w:pPr>
      <w:widowControl w:val="0"/>
      <w:spacing w:beforeLines="30" w:afterLines="30" w:line="312" w:lineRule="auto"/>
      <w:ind w:left="200" w:leftChars="200" w:firstLine="200" w:firstLineChars="200"/>
      <w:jc w:val="left"/>
    </w:pPr>
    <w:rPr>
      <w:rFonts w:eastAsia="仿宋_GB2312" w:cs="宋体"/>
      <w:kern w:val="0"/>
      <w:sz w:val="24"/>
    </w:rPr>
  </w:style>
  <w:style w:type="paragraph" w:customStyle="1" w:styleId="323">
    <w:name w:val="样式 标题 1章节第一层h1Head1Heading appsBMS Heading 1H1PIM 1Head..."/>
    <w:basedOn w:val="2"/>
    <w:qFormat/>
    <w:uiPriority w:val="0"/>
    <w:pPr>
      <w:pageBreakBefore/>
      <w:widowControl w:val="0"/>
      <w:spacing w:before="0" w:after="0" w:line="360" w:lineRule="auto"/>
      <w:jc w:val="center"/>
    </w:pPr>
    <w:rPr>
      <w:rFonts w:ascii="Calibri" w:hAnsi="Calibri" w:eastAsia="黑体" w:cs="宋体"/>
      <w:bCs/>
      <w:kern w:val="2"/>
    </w:rPr>
  </w:style>
  <w:style w:type="character" w:customStyle="1" w:styleId="324">
    <w:name w:val="注释标题 Char1"/>
    <w:basedOn w:val="70"/>
    <w:semiHidden/>
    <w:qFormat/>
    <w:uiPriority w:val="0"/>
    <w:rPr>
      <w:rFonts w:ascii="Times New Roman" w:hAnsi="Times New Roman" w:eastAsia="宋体" w:cs="Times New Roman"/>
      <w:kern w:val="2"/>
      <w:sz w:val="21"/>
    </w:rPr>
  </w:style>
  <w:style w:type="character" w:customStyle="1" w:styleId="325">
    <w:name w:val="HTML 预设格式 Char1"/>
    <w:basedOn w:val="70"/>
    <w:semiHidden/>
    <w:qFormat/>
    <w:uiPriority w:val="0"/>
    <w:rPr>
      <w:rFonts w:ascii="Courier New" w:hAnsi="Courier New" w:eastAsia="宋体" w:cs="Courier New"/>
      <w:kern w:val="2"/>
    </w:rPr>
  </w:style>
  <w:style w:type="paragraph" w:customStyle="1" w:styleId="326">
    <w:name w:val="正文缩进3"/>
    <w:basedOn w:val="1"/>
    <w:qFormat/>
    <w:uiPriority w:val="0"/>
    <w:pPr>
      <w:widowControl w:val="0"/>
      <w:ind w:firstLine="420" w:firstLineChars="200"/>
    </w:pPr>
    <w:rPr>
      <w:rFonts w:eastAsia="仿宋_GB2312"/>
      <w:sz w:val="24"/>
      <w:szCs w:val="24"/>
    </w:rPr>
  </w:style>
  <w:style w:type="paragraph" w:customStyle="1" w:styleId="327">
    <w:name w:val="图文(小四中)"/>
    <w:basedOn w:val="1"/>
    <w:qFormat/>
    <w:uiPriority w:val="0"/>
    <w:pPr>
      <w:widowControl w:val="0"/>
      <w:jc w:val="center"/>
    </w:pPr>
    <w:rPr>
      <w:rFonts w:eastAsia="仿宋_GB2312"/>
      <w:sz w:val="24"/>
      <w:szCs w:val="24"/>
    </w:rPr>
  </w:style>
  <w:style w:type="character" w:customStyle="1" w:styleId="328">
    <w:name w:val="正文文本 2 Char2"/>
    <w:basedOn w:val="70"/>
    <w:semiHidden/>
    <w:qFormat/>
    <w:uiPriority w:val="0"/>
    <w:rPr>
      <w:rFonts w:ascii="Times New Roman" w:hAnsi="Times New Roman" w:eastAsia="宋体" w:cs="Times New Roman"/>
      <w:kern w:val="2"/>
      <w:sz w:val="21"/>
    </w:rPr>
  </w:style>
  <w:style w:type="paragraph" w:customStyle="1" w:styleId="329">
    <w:name w:val="样式9"/>
    <w:basedOn w:val="1"/>
    <w:qFormat/>
    <w:uiPriority w:val="0"/>
    <w:pPr>
      <w:widowControl w:val="0"/>
      <w:snapToGrid w:val="0"/>
      <w:spacing w:line="360" w:lineRule="auto"/>
    </w:pPr>
    <w:rPr>
      <w:rFonts w:ascii="宋体" w:hAnsi="宋体"/>
      <w:sz w:val="28"/>
      <w:szCs w:val="28"/>
    </w:rPr>
  </w:style>
  <w:style w:type="paragraph" w:customStyle="1" w:styleId="330">
    <w:name w:val="标题3"/>
    <w:basedOn w:val="5"/>
    <w:qFormat/>
    <w:uiPriority w:val="0"/>
    <w:pPr>
      <w:keepLines w:val="0"/>
      <w:tabs>
        <w:tab w:val="left" w:pos="864"/>
      </w:tabs>
      <w:autoSpaceDE w:val="0"/>
      <w:autoSpaceDN w:val="0"/>
      <w:spacing w:before="240" w:after="240" w:line="240" w:lineRule="auto"/>
      <w:ind w:left="864"/>
      <w:jc w:val="left"/>
      <w:textAlignment w:val="baseline"/>
    </w:pPr>
    <w:rPr>
      <w:rFonts w:ascii="Arial" w:hAnsi="Times New Roman"/>
      <w:sz w:val="21"/>
      <w:szCs w:val="21"/>
    </w:rPr>
  </w:style>
  <w:style w:type="paragraph" w:customStyle="1" w:styleId="331">
    <w:name w:val="！图片样式"/>
    <w:basedOn w:val="1"/>
    <w:qFormat/>
    <w:uiPriority w:val="0"/>
    <w:pPr>
      <w:widowControl w:val="0"/>
      <w:spacing w:afterLines="50"/>
      <w:jc w:val="center"/>
    </w:pPr>
    <w:rPr>
      <w:rFonts w:eastAsia="仿宋_GB2312"/>
      <w:sz w:val="19"/>
      <w:szCs w:val="24"/>
    </w:rPr>
  </w:style>
  <w:style w:type="character" w:customStyle="1" w:styleId="332">
    <w:name w:val="尾注文本 Char1"/>
    <w:basedOn w:val="70"/>
    <w:semiHidden/>
    <w:qFormat/>
    <w:uiPriority w:val="0"/>
    <w:rPr>
      <w:rFonts w:ascii="Times New Roman" w:hAnsi="Times New Roman" w:eastAsia="宋体" w:cs="Times New Roman"/>
      <w:kern w:val="2"/>
      <w:sz w:val="21"/>
    </w:rPr>
  </w:style>
  <w:style w:type="paragraph" w:customStyle="1" w:styleId="333">
    <w:name w:val="列出段落12"/>
    <w:basedOn w:val="1"/>
    <w:qFormat/>
    <w:uiPriority w:val="0"/>
    <w:pPr>
      <w:widowControl w:val="0"/>
      <w:ind w:firstLine="420" w:firstLineChars="200"/>
    </w:pPr>
    <w:rPr>
      <w:rFonts w:ascii="Calibri" w:hAnsi="Calibri" w:eastAsia="仿宋_GB2312"/>
      <w:sz w:val="24"/>
      <w:szCs w:val="22"/>
    </w:rPr>
  </w:style>
  <w:style w:type="paragraph" w:customStyle="1" w:styleId="334">
    <w:name w:val="正文（标题三）"/>
    <w:basedOn w:val="1"/>
    <w:qFormat/>
    <w:uiPriority w:val="0"/>
    <w:pPr>
      <w:spacing w:line="360" w:lineRule="auto"/>
      <w:ind w:left="170" w:firstLine="425"/>
      <w:jc w:val="left"/>
    </w:pPr>
    <w:rPr>
      <w:rFonts w:eastAsia="仿宋_GB2312"/>
      <w:kern w:val="0"/>
      <w:sz w:val="24"/>
      <w:szCs w:val="24"/>
      <w:lang w:eastAsia="en-US" w:bidi="en-US"/>
    </w:rPr>
  </w:style>
  <w:style w:type="paragraph" w:customStyle="1" w:styleId="335">
    <w:name w:val="样式 标题 1章节第一层h1Head1Heading appsBMS Heading 1H1PIM 1Head...1"/>
    <w:basedOn w:val="2"/>
    <w:next w:val="1"/>
    <w:qFormat/>
    <w:uiPriority w:val="0"/>
    <w:pPr>
      <w:pageBreakBefore/>
      <w:widowControl w:val="0"/>
      <w:spacing w:before="0" w:after="0" w:line="360" w:lineRule="auto"/>
      <w:ind w:left="842" w:hanging="420"/>
      <w:jc w:val="left"/>
    </w:pPr>
    <w:rPr>
      <w:rFonts w:ascii="Calibri" w:hAnsi="Calibri" w:eastAsia="黑体" w:cs="宋体"/>
      <w:bCs/>
      <w:szCs w:val="44"/>
    </w:rPr>
  </w:style>
  <w:style w:type="paragraph" w:customStyle="1" w:styleId="336">
    <w:name w:val="样式 标题 1 + (中文) 黑体 一号 居中 行距: 单倍行距2"/>
    <w:basedOn w:val="1"/>
    <w:qFormat/>
    <w:uiPriority w:val="0"/>
    <w:pPr>
      <w:widowControl w:val="0"/>
      <w:tabs>
        <w:tab w:val="left" w:pos="425"/>
      </w:tabs>
      <w:spacing w:line="360" w:lineRule="auto"/>
      <w:ind w:left="425" w:hanging="425"/>
    </w:pPr>
    <w:rPr>
      <w:rFonts w:eastAsia="仿宋_GB2312"/>
      <w:sz w:val="28"/>
      <w:szCs w:val="24"/>
    </w:rPr>
  </w:style>
  <w:style w:type="paragraph" w:customStyle="1" w:styleId="337">
    <w:name w:val="et43"/>
    <w:basedOn w:val="1"/>
    <w:qFormat/>
    <w:uiPriority w:val="0"/>
    <w:pPr>
      <w:pBdr>
        <w:top w:val="single" w:color="000000" w:sz="12"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color w:val="000000"/>
      <w:kern w:val="0"/>
      <w:sz w:val="20"/>
    </w:rPr>
  </w:style>
  <w:style w:type="character" w:customStyle="1" w:styleId="338">
    <w:name w:val="引用 Char1"/>
    <w:basedOn w:val="70"/>
    <w:semiHidden/>
    <w:qFormat/>
    <w:uiPriority w:val="99"/>
    <w:rPr>
      <w:rFonts w:ascii="Times New Roman" w:hAnsi="Times New Roman" w:eastAsia="宋体" w:cs="Times New Roman"/>
      <w:i/>
      <w:iCs/>
      <w:color w:val="000000" w:themeColor="text1"/>
      <w:kern w:val="2"/>
      <w:sz w:val="21"/>
      <w14:textFill>
        <w14:solidFill>
          <w14:schemeClr w14:val="tx1"/>
        </w14:solidFill>
      </w14:textFill>
    </w:rPr>
  </w:style>
  <w:style w:type="character" w:customStyle="1" w:styleId="339">
    <w:name w:val="正文文本缩进 3 Char2"/>
    <w:basedOn w:val="70"/>
    <w:semiHidden/>
    <w:qFormat/>
    <w:uiPriority w:val="0"/>
    <w:rPr>
      <w:rFonts w:ascii="Times New Roman" w:hAnsi="Times New Roman" w:eastAsia="宋体" w:cs="Times New Roman"/>
      <w:kern w:val="2"/>
      <w:sz w:val="16"/>
      <w:szCs w:val="16"/>
    </w:rPr>
  </w:style>
  <w:style w:type="paragraph" w:customStyle="1" w:styleId="340">
    <w:name w:val="表格中文字"/>
    <w:basedOn w:val="1"/>
    <w:next w:val="1"/>
    <w:qFormat/>
    <w:uiPriority w:val="0"/>
    <w:pPr>
      <w:widowControl w:val="0"/>
    </w:pPr>
    <w:rPr>
      <w:rFonts w:ascii="仿宋_GB2312" w:hAnsi="宋体" w:eastAsia="仿宋_GB2312" w:cs="宋体"/>
      <w:kern w:val="0"/>
      <w:sz w:val="20"/>
    </w:rPr>
  </w:style>
  <w:style w:type="paragraph" w:customStyle="1" w:styleId="341">
    <w:name w:val="封面阶段"/>
    <w:basedOn w:val="342"/>
    <w:next w:val="1"/>
    <w:qFormat/>
    <w:uiPriority w:val="0"/>
    <w:rPr>
      <w:sz w:val="72"/>
    </w:rPr>
  </w:style>
  <w:style w:type="paragraph" w:customStyle="1" w:styleId="342">
    <w:name w:val="封面"/>
    <w:basedOn w:val="1"/>
    <w:next w:val="1"/>
    <w:uiPriority w:val="0"/>
    <w:pPr>
      <w:widowControl w:val="0"/>
      <w:spacing w:line="360" w:lineRule="auto"/>
      <w:jc w:val="center"/>
    </w:pPr>
    <w:rPr>
      <w:b/>
      <w:sz w:val="44"/>
    </w:rPr>
  </w:style>
  <w:style w:type="paragraph" w:customStyle="1" w:styleId="343">
    <w:name w:val="et38"/>
    <w:basedOn w:val="1"/>
    <w:qFormat/>
    <w:uiPriority w:val="0"/>
    <w:pPr>
      <w:pBdr>
        <w:top w:val="single" w:color="000000" w:sz="4" w:space="0"/>
        <w:left w:val="single" w:color="000000" w:sz="4" w:space="0"/>
        <w:bottom w:val="single" w:color="000000" w:sz="12" w:space="0"/>
        <w:right w:val="single" w:color="000000" w:sz="12" w:space="0"/>
      </w:pBdr>
      <w:spacing w:before="100" w:beforeAutospacing="1" w:after="100" w:afterAutospacing="1"/>
      <w:jc w:val="right"/>
      <w:textAlignment w:val="center"/>
    </w:pPr>
    <w:rPr>
      <w:rFonts w:ascii="宋体" w:hAnsi="宋体" w:cs="宋体"/>
      <w:b/>
      <w:bCs/>
      <w:color w:val="000000"/>
      <w:kern w:val="0"/>
      <w:sz w:val="20"/>
    </w:rPr>
  </w:style>
  <w:style w:type="character" w:customStyle="1" w:styleId="344">
    <w:name w:val="标题 Char1"/>
    <w:basedOn w:val="70"/>
    <w:qFormat/>
    <w:uiPriority w:val="10"/>
    <w:rPr>
      <w:rFonts w:eastAsia="宋体" w:asciiTheme="majorHAnsi" w:hAnsiTheme="majorHAnsi" w:cstheme="majorBidi"/>
      <w:b/>
      <w:bCs/>
      <w:kern w:val="2"/>
      <w:sz w:val="32"/>
      <w:szCs w:val="32"/>
    </w:rPr>
  </w:style>
  <w:style w:type="paragraph" w:customStyle="1" w:styleId="345">
    <w:name w:val="封面_文档性质"/>
    <w:qFormat/>
    <w:uiPriority w:val="0"/>
    <w:pPr>
      <w:jc w:val="center"/>
    </w:pPr>
    <w:rPr>
      <w:rFonts w:ascii="Times New Roman" w:hAnsi="Times New Roman" w:eastAsia="宋体" w:cs="Times New Roman"/>
      <w:kern w:val="2"/>
      <w:sz w:val="44"/>
      <w:szCs w:val="24"/>
      <w:lang w:val="en-US" w:eastAsia="zh-CN" w:bidi="ar-SA"/>
    </w:rPr>
  </w:style>
  <w:style w:type="paragraph" w:customStyle="1" w:styleId="346">
    <w:name w:val="xl5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kern w:val="0"/>
      <w:szCs w:val="21"/>
    </w:rPr>
  </w:style>
  <w:style w:type="paragraph" w:customStyle="1" w:styleId="347">
    <w:name w:val="et12"/>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b/>
      <w:bCs/>
      <w:color w:val="000000"/>
      <w:kern w:val="0"/>
      <w:sz w:val="20"/>
    </w:rPr>
  </w:style>
  <w:style w:type="paragraph" w:customStyle="1" w:styleId="348">
    <w:name w:val="xl28"/>
    <w:basedOn w:val="1"/>
    <w:qFormat/>
    <w:uiPriority w:val="0"/>
    <w:pPr>
      <w:pBdr>
        <w:top w:val="single" w:color="auto" w:sz="4" w:space="0"/>
        <w:left w:val="single" w:color="auto" w:sz="4" w:space="0"/>
      </w:pBdr>
      <w:spacing w:before="100" w:beforeAutospacing="1" w:after="100" w:afterAutospacing="1"/>
      <w:jc w:val="center"/>
    </w:pPr>
    <w:rPr>
      <w:rFonts w:hint="eastAsia" w:ascii="黑体" w:hAnsi="Arial Unicode MS" w:eastAsia="黑体" w:cs="Arial Unicode MS"/>
      <w:kern w:val="0"/>
      <w:sz w:val="20"/>
    </w:rPr>
  </w:style>
  <w:style w:type="paragraph" w:customStyle="1" w:styleId="349">
    <w:name w:val="et11"/>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b/>
      <w:bCs/>
      <w:color w:val="000000"/>
      <w:kern w:val="0"/>
      <w:sz w:val="20"/>
    </w:rPr>
  </w:style>
  <w:style w:type="paragraph" w:customStyle="1" w:styleId="350">
    <w:name w:val="样式 标题 3 Char + 黑体 四号 行距: 多倍行距 1.73 字行1"/>
    <w:basedOn w:val="4"/>
    <w:qFormat/>
    <w:uiPriority w:val="0"/>
    <w:pPr>
      <w:widowControl w:val="0"/>
      <w:spacing w:before="0" w:after="0" w:line="500" w:lineRule="exact"/>
    </w:pPr>
    <w:rPr>
      <w:rFonts w:ascii="黑体" w:hAnsi="Arial" w:eastAsia="黑体" w:cs="宋体"/>
      <w:b w:val="0"/>
      <w:sz w:val="28"/>
      <w:szCs w:val="28"/>
    </w:rPr>
  </w:style>
  <w:style w:type="paragraph" w:customStyle="1" w:styleId="351">
    <w:name w:val="图形样式 居中"/>
    <w:basedOn w:val="1"/>
    <w:qFormat/>
    <w:uiPriority w:val="0"/>
    <w:pPr>
      <w:keepNext/>
      <w:widowControl w:val="0"/>
      <w:spacing w:line="360" w:lineRule="auto"/>
      <w:jc w:val="center"/>
    </w:pPr>
    <w:rPr>
      <w:rFonts w:eastAsia="仿宋_GB2312" w:cs="宋体"/>
      <w:sz w:val="24"/>
    </w:rPr>
  </w:style>
  <w:style w:type="paragraph" w:customStyle="1" w:styleId="352">
    <w:name w:val="样式 标题 2 + 自动设置"/>
    <w:basedOn w:val="3"/>
    <w:qFormat/>
    <w:uiPriority w:val="0"/>
    <w:pPr>
      <w:widowControl w:val="0"/>
      <w:spacing w:before="0" w:after="0" w:line="240" w:lineRule="auto"/>
    </w:pPr>
    <w:rPr>
      <w:rFonts w:ascii="黑体" w:hAnsi="宋体" w:eastAsia="仿宋_GB2312"/>
      <w:b w:val="0"/>
      <w:bCs w:val="0"/>
      <w:color w:val="0000FF"/>
      <w:sz w:val="30"/>
      <w:szCs w:val="30"/>
    </w:rPr>
  </w:style>
  <w:style w:type="character" w:customStyle="1" w:styleId="353">
    <w:name w:val="正文首行缩进 2 Char1"/>
    <w:basedOn w:val="89"/>
    <w:qFormat/>
    <w:uiPriority w:val="99"/>
    <w:rPr>
      <w:rFonts w:ascii="Times New Roman" w:hAnsi="Times New Roman" w:eastAsia="宋体" w:cs="Times New Roman"/>
      <w:kern w:val="2"/>
      <w:sz w:val="21"/>
    </w:rPr>
  </w:style>
  <w:style w:type="paragraph" w:customStyle="1" w:styleId="354">
    <w:name w:val="正文（国创）"/>
    <w:basedOn w:val="1"/>
    <w:qFormat/>
    <w:uiPriority w:val="0"/>
    <w:pPr>
      <w:widowControl w:val="0"/>
      <w:tabs>
        <w:tab w:val="left" w:pos="900"/>
      </w:tabs>
      <w:adjustRightInd w:val="0"/>
      <w:snapToGrid w:val="0"/>
      <w:spacing w:beforeLines="30" w:line="312" w:lineRule="auto"/>
      <w:ind w:firstLine="200" w:firstLineChars="200"/>
    </w:pPr>
    <w:rPr>
      <w:rFonts w:ascii="宋体" w:hAnsi="宋体" w:eastAsia="仿宋_GB2312"/>
      <w:sz w:val="24"/>
      <w:szCs w:val="21"/>
    </w:rPr>
  </w:style>
  <w:style w:type="paragraph" w:customStyle="1" w:styleId="355">
    <w:name w:val="xl105"/>
    <w:basedOn w:val="1"/>
    <w:qFormat/>
    <w:uiPriority w:val="0"/>
    <w:pPr>
      <w:pBdr>
        <w:top w:val="single" w:color="auto" w:sz="4" w:space="0"/>
        <w:bottom w:val="single" w:color="auto" w:sz="4" w:space="0"/>
      </w:pBdr>
      <w:spacing w:before="100" w:beforeAutospacing="1" w:after="100" w:afterAutospacing="1"/>
      <w:jc w:val="left"/>
    </w:pPr>
    <w:rPr>
      <w:rFonts w:ascii="仿宋" w:hAnsi="仿宋" w:eastAsia="仿宋" w:cs="宋体"/>
      <w:kern w:val="0"/>
      <w:sz w:val="20"/>
    </w:rPr>
  </w:style>
  <w:style w:type="paragraph" w:customStyle="1" w:styleId="356">
    <w:name w:val="图片_居中"/>
    <w:qFormat/>
    <w:uiPriority w:val="0"/>
    <w:pPr>
      <w:jc w:val="center"/>
    </w:pPr>
    <w:rPr>
      <w:rFonts w:ascii="Times New Roman" w:hAnsi="Times New Roman" w:eastAsia="宋体" w:cs="Times New Roman"/>
      <w:kern w:val="2"/>
      <w:sz w:val="18"/>
      <w:szCs w:val="24"/>
      <w:lang w:val="en-US" w:eastAsia="zh-CN" w:bidi="ar-SA"/>
    </w:rPr>
  </w:style>
  <w:style w:type="paragraph" w:customStyle="1" w:styleId="357">
    <w:name w:val="xl3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bottom"/>
    </w:pPr>
    <w:rPr>
      <w:rFonts w:ascii="宋体" w:hAnsi="宋体" w:eastAsia="仿宋_GB2312" w:cs="宋体"/>
      <w:kern w:val="0"/>
      <w:sz w:val="16"/>
      <w:szCs w:val="16"/>
    </w:rPr>
  </w:style>
  <w:style w:type="paragraph" w:customStyle="1" w:styleId="358">
    <w:name w:val="xl5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Cs w:val="21"/>
    </w:rPr>
  </w:style>
  <w:style w:type="paragraph" w:customStyle="1" w:styleId="359">
    <w:name w:val="正文缩进2"/>
    <w:basedOn w:val="1"/>
    <w:qFormat/>
    <w:uiPriority w:val="0"/>
    <w:pPr>
      <w:widowControl w:val="0"/>
      <w:ind w:firstLine="420" w:firstLineChars="200"/>
    </w:pPr>
    <w:rPr>
      <w:rFonts w:eastAsia="仿宋_GB2312"/>
      <w:kern w:val="0"/>
      <w:sz w:val="20"/>
      <w:szCs w:val="24"/>
    </w:rPr>
  </w:style>
  <w:style w:type="paragraph" w:customStyle="1" w:styleId="360">
    <w:name w:val="Char Char1 Char Char1 Char Char Char Char Char Char"/>
    <w:basedOn w:val="1"/>
    <w:qFormat/>
    <w:uiPriority w:val="0"/>
    <w:pPr>
      <w:spacing w:line="360" w:lineRule="auto"/>
      <w:ind w:firstLine="200" w:firstLineChars="200"/>
      <w:jc w:val="left"/>
    </w:pPr>
    <w:rPr>
      <w:rFonts w:ascii="Verdana" w:hAnsi="Verdana" w:eastAsia="仿宋_GB2312"/>
      <w:kern w:val="0"/>
      <w:sz w:val="20"/>
      <w:lang w:eastAsia="en-US"/>
    </w:rPr>
  </w:style>
  <w:style w:type="paragraph" w:customStyle="1" w:styleId="361">
    <w:name w:val="封面单位"/>
    <w:basedOn w:val="1"/>
    <w:next w:val="1"/>
    <w:qFormat/>
    <w:uiPriority w:val="0"/>
    <w:pPr>
      <w:widowControl w:val="0"/>
      <w:spacing w:line="360" w:lineRule="auto"/>
      <w:jc w:val="center"/>
    </w:pPr>
    <w:rPr>
      <w:sz w:val="32"/>
    </w:rPr>
  </w:style>
  <w:style w:type="character" w:customStyle="1" w:styleId="362">
    <w:name w:val="脚注文本 Char1"/>
    <w:basedOn w:val="70"/>
    <w:qFormat/>
    <w:uiPriority w:val="99"/>
    <w:rPr>
      <w:rFonts w:ascii="Times New Roman" w:hAnsi="Times New Roman" w:eastAsia="宋体" w:cs="Times New Roman"/>
      <w:kern w:val="2"/>
      <w:sz w:val="18"/>
      <w:szCs w:val="18"/>
    </w:rPr>
  </w:style>
  <w:style w:type="paragraph" w:customStyle="1" w:styleId="363">
    <w:name w:val="1"/>
    <w:basedOn w:val="1"/>
    <w:qFormat/>
    <w:uiPriority w:val="0"/>
    <w:pPr>
      <w:widowControl w:val="0"/>
      <w:ind w:firstLine="480"/>
    </w:pPr>
    <w:rPr>
      <w:sz w:val="24"/>
    </w:rPr>
  </w:style>
  <w:style w:type="character" w:customStyle="1" w:styleId="364">
    <w:name w:val="正文文本 3 Char1"/>
    <w:basedOn w:val="70"/>
    <w:qFormat/>
    <w:uiPriority w:val="99"/>
    <w:rPr>
      <w:rFonts w:ascii="Times New Roman" w:hAnsi="Times New Roman" w:eastAsia="宋体" w:cs="Times New Roman"/>
      <w:kern w:val="2"/>
      <w:sz w:val="16"/>
      <w:szCs w:val="16"/>
    </w:rPr>
  </w:style>
  <w:style w:type="paragraph" w:customStyle="1" w:styleId="365">
    <w:name w:val="列出段落1"/>
    <w:basedOn w:val="1"/>
    <w:qFormat/>
    <w:uiPriority w:val="34"/>
    <w:pPr>
      <w:widowControl w:val="0"/>
      <w:ind w:firstLine="420" w:firstLineChars="200"/>
    </w:pPr>
    <w:rPr>
      <w:rFonts w:ascii="Calibri" w:hAnsi="Calibri" w:eastAsia="仿宋_GB2312"/>
      <w:sz w:val="24"/>
      <w:szCs w:val="22"/>
    </w:rPr>
  </w:style>
  <w:style w:type="paragraph" w:customStyle="1" w:styleId="366">
    <w:name w:val="普通(网站)1"/>
    <w:basedOn w:val="1"/>
    <w:qFormat/>
    <w:uiPriority w:val="0"/>
    <w:pPr>
      <w:spacing w:before="100" w:beforeAutospacing="1" w:after="100" w:afterAutospacing="1"/>
      <w:jc w:val="left"/>
    </w:pPr>
    <w:rPr>
      <w:rFonts w:ascii="宋体" w:hAnsi="宋体" w:eastAsia="仿宋_GB2312" w:cs="宋体"/>
      <w:color w:val="000000"/>
      <w:kern w:val="0"/>
      <w:sz w:val="24"/>
      <w:szCs w:val="24"/>
    </w:rPr>
  </w:style>
  <w:style w:type="paragraph" w:customStyle="1" w:styleId="367">
    <w:name w:val="xl90"/>
    <w:basedOn w:val="1"/>
    <w:qFormat/>
    <w:uiPriority w:val="0"/>
    <w:pPr>
      <w:pBdr>
        <w:top w:val="single" w:color="auto" w:sz="8" w:space="0"/>
        <w:bottom w:val="single" w:color="000000" w:sz="8" w:space="0"/>
      </w:pBdr>
      <w:spacing w:before="100" w:beforeAutospacing="1" w:after="100" w:afterAutospacing="1"/>
      <w:jc w:val="center"/>
    </w:pPr>
    <w:rPr>
      <w:rFonts w:ascii="仿宋" w:hAnsi="仿宋" w:eastAsia="仿宋" w:cs="宋体"/>
      <w:b/>
      <w:bCs/>
      <w:kern w:val="0"/>
      <w:sz w:val="24"/>
      <w:szCs w:val="21"/>
    </w:rPr>
  </w:style>
  <w:style w:type="paragraph" w:customStyle="1" w:styleId="368">
    <w:name w:val="缩进项目"/>
    <w:basedOn w:val="369"/>
    <w:qFormat/>
    <w:uiPriority w:val="0"/>
    <w:pPr>
      <w:tabs>
        <w:tab w:val="left" w:pos="780"/>
        <w:tab w:val="left" w:pos="900"/>
        <w:tab w:val="left" w:pos="1980"/>
      </w:tabs>
      <w:spacing w:after="0"/>
      <w:ind w:left="1980" w:hanging="540"/>
    </w:pPr>
  </w:style>
  <w:style w:type="paragraph" w:customStyle="1" w:styleId="369">
    <w:name w:val="缩进正文"/>
    <w:basedOn w:val="1"/>
    <w:qFormat/>
    <w:uiPriority w:val="0"/>
    <w:pPr>
      <w:tabs>
        <w:tab w:val="left" w:pos="900"/>
      </w:tabs>
      <w:spacing w:after="200" w:line="400" w:lineRule="exact"/>
      <w:ind w:left="1418" w:hanging="420"/>
      <w:jc w:val="left"/>
    </w:pPr>
    <w:rPr>
      <w:rFonts w:ascii="宋体" w:eastAsia="仿宋_GB2312"/>
      <w:kern w:val="0"/>
      <w:sz w:val="24"/>
    </w:rPr>
  </w:style>
  <w:style w:type="paragraph" w:customStyle="1" w:styleId="370">
    <w:name w:val="Char Char31"/>
    <w:basedOn w:val="1"/>
    <w:qFormat/>
    <w:uiPriority w:val="0"/>
    <w:pPr>
      <w:spacing w:line="360" w:lineRule="auto"/>
    </w:pPr>
    <w:rPr>
      <w:rFonts w:ascii="Verdana" w:hAnsi="Verdana" w:eastAsia="仿宋_GB2312"/>
      <w:kern w:val="0"/>
      <w:sz w:val="24"/>
      <w:lang w:eastAsia="en-US"/>
    </w:rPr>
  </w:style>
  <w:style w:type="paragraph" w:customStyle="1" w:styleId="371">
    <w:name w:val="名称"/>
    <w:basedOn w:val="1"/>
    <w:qFormat/>
    <w:uiPriority w:val="0"/>
    <w:pPr>
      <w:tabs>
        <w:tab w:val="left" w:pos="1500"/>
      </w:tabs>
      <w:autoSpaceDE w:val="0"/>
      <w:autoSpaceDN w:val="0"/>
      <w:adjustRightInd w:val="0"/>
      <w:snapToGrid w:val="0"/>
      <w:spacing w:line="312" w:lineRule="atLeast"/>
      <w:ind w:firstLine="880" w:firstLineChars="225"/>
      <w:jc w:val="center"/>
      <w:textAlignment w:val="baseline"/>
    </w:pPr>
    <w:rPr>
      <w:rFonts w:ascii="楷体_GB2312" w:hAnsi="宋体" w:eastAsia="楷体_GB2312"/>
      <w:b/>
      <w:bCs/>
      <w:kern w:val="0"/>
      <w:sz w:val="44"/>
    </w:rPr>
  </w:style>
  <w:style w:type="paragraph" w:customStyle="1" w:styleId="372">
    <w:name w:val="标准正文"/>
    <w:basedOn w:val="27"/>
    <w:link w:val="869"/>
    <w:qFormat/>
    <w:uiPriority w:val="0"/>
    <w:pPr>
      <w:tabs>
        <w:tab w:val="clear" w:pos="1120"/>
      </w:tabs>
      <w:spacing w:line="360" w:lineRule="auto"/>
      <w:ind w:firstLine="480" w:firstLineChars="200"/>
      <w:jc w:val="both"/>
    </w:pPr>
    <w:rPr>
      <w:rFonts w:ascii="仿宋_GB2312" w:hAnsi="Calibri" w:eastAsia="仿宋_GB2312"/>
    </w:rPr>
  </w:style>
  <w:style w:type="paragraph" w:customStyle="1" w:styleId="373">
    <w:name w:val="Char1 Char Char Char Char Char Char Char Char Char Char Char Char Char Char Char Char Char Char"/>
    <w:basedOn w:val="1"/>
    <w:qFormat/>
    <w:uiPriority w:val="0"/>
    <w:pPr>
      <w:spacing w:after="160" w:line="240" w:lineRule="exact"/>
      <w:ind w:firstLine="200" w:firstLineChars="200"/>
      <w:jc w:val="left"/>
    </w:pPr>
    <w:rPr>
      <w:rFonts w:ascii="Verdana" w:hAnsi="Verdana" w:eastAsia="仿宋_GB2312"/>
      <w:kern w:val="0"/>
      <w:sz w:val="28"/>
      <w:lang w:eastAsia="en-US"/>
    </w:rPr>
  </w:style>
  <w:style w:type="paragraph" w:customStyle="1" w:styleId="374">
    <w:name w:val="xl12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kern w:val="0"/>
      <w:szCs w:val="21"/>
    </w:rPr>
  </w:style>
  <w:style w:type="paragraph" w:customStyle="1" w:styleId="375">
    <w:name w:val="图文"/>
    <w:basedOn w:val="376"/>
    <w:qFormat/>
    <w:uiPriority w:val="0"/>
    <w:pPr>
      <w:tabs>
        <w:tab w:val="left" w:pos="810"/>
      </w:tabs>
      <w:spacing w:line="240" w:lineRule="auto"/>
      <w:ind w:firstLine="0" w:firstLineChars="0"/>
    </w:pPr>
    <w:rPr>
      <w:sz w:val="21"/>
      <w:lang w:val="zh-CN"/>
    </w:rPr>
  </w:style>
  <w:style w:type="paragraph" w:customStyle="1" w:styleId="376">
    <w:name w:val="水调正文"/>
    <w:basedOn w:val="1"/>
    <w:qFormat/>
    <w:uiPriority w:val="0"/>
    <w:pPr>
      <w:widowControl w:val="0"/>
      <w:tabs>
        <w:tab w:val="left" w:pos="810"/>
      </w:tabs>
      <w:adjustRightInd w:val="0"/>
      <w:spacing w:line="360" w:lineRule="auto"/>
      <w:ind w:firstLine="480" w:firstLineChars="200"/>
      <w:textAlignment w:val="baseline"/>
    </w:pPr>
    <w:rPr>
      <w:rFonts w:ascii="宋体" w:hAnsi="宋体" w:eastAsia="仿宋_GB2312"/>
      <w:sz w:val="24"/>
      <w:szCs w:val="21"/>
    </w:rPr>
  </w:style>
  <w:style w:type="paragraph" w:customStyle="1" w:styleId="377">
    <w:name w:val="xl96"/>
    <w:basedOn w:val="1"/>
    <w:qFormat/>
    <w:uiPriority w:val="0"/>
    <w:pPr>
      <w:pBdr>
        <w:top w:val="single" w:color="C0C0C0" w:sz="4" w:space="0"/>
        <w:left w:val="single" w:color="C0C0C0" w:sz="4" w:space="0"/>
        <w:bottom w:val="single" w:color="C0C0C0" w:sz="4" w:space="0"/>
        <w:right w:val="single" w:color="C0C0C0" w:sz="4" w:space="0"/>
      </w:pBdr>
      <w:spacing w:before="100" w:beforeAutospacing="1" w:after="100" w:afterAutospacing="1"/>
      <w:jc w:val="left"/>
    </w:pPr>
    <w:rPr>
      <w:rFonts w:ascii="宋体" w:hAnsi="宋体" w:eastAsia="仿宋_GB2312" w:cs="宋体"/>
      <w:color w:val="000000"/>
      <w:kern w:val="0"/>
      <w:sz w:val="20"/>
    </w:rPr>
  </w:style>
  <w:style w:type="paragraph" w:customStyle="1" w:styleId="378">
    <w:name w:val="正文居中"/>
    <w:basedOn w:val="1"/>
    <w:qFormat/>
    <w:uiPriority w:val="0"/>
    <w:pPr>
      <w:widowControl w:val="0"/>
      <w:spacing w:line="360" w:lineRule="auto"/>
      <w:jc w:val="center"/>
    </w:pPr>
    <w:rPr>
      <w:rFonts w:eastAsia="黑体" w:cs="宋体"/>
      <w:b/>
      <w:bCs/>
      <w:sz w:val="36"/>
    </w:rPr>
  </w:style>
  <w:style w:type="paragraph" w:customStyle="1" w:styleId="379">
    <w:name w:val="无间隔1"/>
    <w:qFormat/>
    <w:uiPriority w:val="0"/>
    <w:pPr>
      <w:widowControl w:val="0"/>
      <w:jc w:val="center"/>
    </w:pPr>
    <w:rPr>
      <w:rFonts w:ascii="Times New Roman" w:hAnsi="Times New Roman" w:eastAsia="仿宋_GB2312" w:cs="Times New Roman"/>
      <w:sz w:val="21"/>
      <w:szCs w:val="24"/>
      <w:lang w:val="en-US" w:eastAsia="zh-CN" w:bidi="ar-SA"/>
    </w:rPr>
  </w:style>
  <w:style w:type="paragraph" w:customStyle="1" w:styleId="380">
    <w:name w:val="Char1 Char Char Char Char Char Char"/>
    <w:basedOn w:val="1"/>
    <w:qFormat/>
    <w:uiPriority w:val="0"/>
    <w:pPr>
      <w:widowControl w:val="0"/>
      <w:spacing w:line="360" w:lineRule="auto"/>
    </w:pPr>
    <w:rPr>
      <w:rFonts w:ascii="Tahoma" w:hAnsi="Tahoma" w:eastAsia="仿宋_GB2312"/>
      <w:sz w:val="24"/>
    </w:rPr>
  </w:style>
  <w:style w:type="paragraph" w:customStyle="1" w:styleId="381">
    <w:name w:val="List Bullet2"/>
    <w:basedOn w:val="382"/>
    <w:qFormat/>
    <w:uiPriority w:val="0"/>
    <w:pPr>
      <w:tabs>
        <w:tab w:val="left" w:pos="420"/>
        <w:tab w:val="left" w:pos="960"/>
      </w:tabs>
      <w:spacing w:before="120"/>
      <w:ind w:left="960" w:right="340" w:hanging="420"/>
    </w:pPr>
  </w:style>
  <w:style w:type="paragraph" w:customStyle="1" w:styleId="382">
    <w:name w:val="List Bullet1"/>
    <w:basedOn w:val="1"/>
    <w:qFormat/>
    <w:uiPriority w:val="0"/>
    <w:pPr>
      <w:tabs>
        <w:tab w:val="left" w:pos="420"/>
      </w:tabs>
      <w:spacing w:before="240" w:after="120" w:line="288" w:lineRule="auto"/>
      <w:ind w:left="981" w:right="57" w:hanging="357"/>
      <w:jc w:val="left"/>
    </w:pPr>
    <w:rPr>
      <w:rFonts w:eastAsia="仿宋_GB2312"/>
      <w:kern w:val="0"/>
      <w:sz w:val="24"/>
      <w:szCs w:val="24"/>
    </w:rPr>
  </w:style>
  <w:style w:type="paragraph" w:customStyle="1" w:styleId="383">
    <w:name w:val="参考文献"/>
    <w:basedOn w:val="1"/>
    <w:next w:val="1"/>
    <w:qFormat/>
    <w:uiPriority w:val="0"/>
    <w:pPr>
      <w:widowControl w:val="0"/>
      <w:tabs>
        <w:tab w:val="left" w:pos="420"/>
      </w:tabs>
      <w:spacing w:line="520" w:lineRule="exact"/>
      <w:ind w:left="420" w:hanging="420"/>
    </w:pPr>
    <w:rPr>
      <w:rFonts w:eastAsia="仿宋_GB2312"/>
      <w:sz w:val="24"/>
      <w:szCs w:val="28"/>
    </w:rPr>
  </w:style>
  <w:style w:type="paragraph" w:customStyle="1" w:styleId="384">
    <w:name w:val="et17"/>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385">
    <w:name w:val="et34"/>
    <w:basedOn w:val="1"/>
    <w:qFormat/>
    <w:uiPriority w:val="0"/>
    <w:pPr>
      <w:pBdr>
        <w:top w:val="single" w:color="000000" w:sz="4" w:space="0"/>
        <w:left w:val="single" w:color="000000" w:sz="12" w:space="0"/>
        <w:bottom w:val="single" w:color="000000" w:sz="12" w:space="0"/>
        <w:right w:val="single" w:color="000000" w:sz="4" w:space="0"/>
      </w:pBdr>
      <w:spacing w:before="100" w:beforeAutospacing="1" w:after="100" w:afterAutospacing="1"/>
      <w:jc w:val="center"/>
      <w:textAlignment w:val="center"/>
    </w:pPr>
    <w:rPr>
      <w:rFonts w:ascii="宋体" w:hAnsi="宋体" w:cs="宋体"/>
      <w:b/>
      <w:bCs/>
      <w:color w:val="000000"/>
      <w:kern w:val="0"/>
      <w:sz w:val="22"/>
      <w:szCs w:val="22"/>
    </w:rPr>
  </w:style>
  <w:style w:type="paragraph" w:customStyle="1" w:styleId="386">
    <w:name w:val="et8"/>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b/>
      <w:bCs/>
      <w:color w:val="000000"/>
      <w:kern w:val="0"/>
      <w:sz w:val="20"/>
    </w:rPr>
  </w:style>
  <w:style w:type="paragraph" w:customStyle="1" w:styleId="387">
    <w:name w:val="正文样式 首行缩进:  2 字符"/>
    <w:qFormat/>
    <w:uiPriority w:val="0"/>
    <w:rPr>
      <w:rFonts w:ascii="Times New Roman" w:hAnsi="Times New Roman" w:eastAsia="宋体" w:cs="宋体"/>
      <w:kern w:val="2"/>
      <w:sz w:val="28"/>
      <w:lang w:val="en-US" w:eastAsia="zh-CN" w:bidi="ar-SA"/>
    </w:rPr>
  </w:style>
  <w:style w:type="paragraph" w:customStyle="1" w:styleId="388">
    <w:name w:val="封页标题"/>
    <w:basedOn w:val="1"/>
    <w:next w:val="1"/>
    <w:qFormat/>
    <w:uiPriority w:val="0"/>
    <w:pPr>
      <w:keepNext/>
      <w:keepLines/>
      <w:tabs>
        <w:tab w:val="left" w:pos="1500"/>
        <w:tab w:val="right" w:leader="middleDot" w:pos="8640"/>
      </w:tabs>
      <w:wordWrap w:val="0"/>
      <w:autoSpaceDE w:val="0"/>
      <w:autoSpaceDN w:val="0"/>
      <w:adjustRightInd w:val="0"/>
      <w:spacing w:before="2400" w:after="400" w:line="360" w:lineRule="auto"/>
      <w:ind w:left="113" w:right="57"/>
      <w:jc w:val="right"/>
    </w:pPr>
    <w:rPr>
      <w:rFonts w:ascii="Arial" w:hAnsi="Arial" w:eastAsia="楷体_GB2312"/>
      <w:b/>
      <w:caps/>
      <w:spacing w:val="8"/>
      <w:kern w:val="21"/>
      <w:sz w:val="44"/>
      <w:lang w:bidi="he-IL"/>
    </w:rPr>
  </w:style>
  <w:style w:type="paragraph" w:customStyle="1" w:styleId="389">
    <w:name w:val="et42"/>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b/>
      <w:bCs/>
      <w:color w:val="000000"/>
      <w:kern w:val="0"/>
      <w:sz w:val="20"/>
    </w:rPr>
  </w:style>
  <w:style w:type="paragraph" w:customStyle="1" w:styleId="390">
    <w:name w:val="a"/>
    <w:basedOn w:val="1"/>
    <w:qFormat/>
    <w:uiPriority w:val="0"/>
    <w:pPr>
      <w:spacing w:before="100" w:beforeAutospacing="1" w:after="100" w:afterAutospacing="1"/>
      <w:jc w:val="left"/>
    </w:pPr>
    <w:rPr>
      <w:rFonts w:ascii="宋体" w:hAnsi="宋体" w:eastAsia="仿宋_GB2312" w:cs="宋体"/>
      <w:kern w:val="0"/>
      <w:sz w:val="24"/>
      <w:szCs w:val="24"/>
    </w:rPr>
  </w:style>
  <w:style w:type="paragraph" w:customStyle="1" w:styleId="391">
    <w:name w:val="正文（首行缩进）"/>
    <w:basedOn w:val="1"/>
    <w:qFormat/>
    <w:uiPriority w:val="0"/>
    <w:pPr>
      <w:widowControl w:val="0"/>
      <w:jc w:val="center"/>
    </w:pPr>
    <w:rPr>
      <w:rFonts w:eastAsia="仿宋_GB2312"/>
      <w:sz w:val="24"/>
      <w:szCs w:val="24"/>
    </w:rPr>
  </w:style>
  <w:style w:type="paragraph" w:customStyle="1" w:styleId="392">
    <w:name w:val="."/>
    <w:basedOn w:val="98"/>
    <w:next w:val="98"/>
    <w:qFormat/>
    <w:uiPriority w:val="0"/>
    <w:rPr>
      <w:rFonts w:hAnsi="Calibri" w:cs="Times New Roman"/>
      <w:color w:val="auto"/>
    </w:rPr>
  </w:style>
  <w:style w:type="paragraph" w:customStyle="1" w:styleId="393">
    <w:name w:val="et37"/>
    <w:basedOn w:val="1"/>
    <w:qFormat/>
    <w:uiPriority w:val="0"/>
    <w:pPr>
      <w:pBdr>
        <w:top w:val="single" w:color="000000" w:sz="4" w:space="0"/>
        <w:left w:val="single" w:color="000000" w:sz="4" w:space="0"/>
        <w:bottom w:val="single" w:color="000000" w:sz="12" w:space="0"/>
        <w:right w:val="single" w:color="000000" w:sz="4" w:space="0"/>
      </w:pBdr>
      <w:spacing w:before="100" w:beforeAutospacing="1" w:after="100" w:afterAutospacing="1"/>
      <w:jc w:val="right"/>
      <w:textAlignment w:val="center"/>
    </w:pPr>
    <w:rPr>
      <w:rFonts w:ascii="宋体" w:hAnsi="宋体" w:cs="宋体"/>
      <w:b/>
      <w:bCs/>
      <w:color w:val="000000"/>
      <w:kern w:val="0"/>
      <w:sz w:val="20"/>
    </w:rPr>
  </w:style>
  <w:style w:type="paragraph" w:customStyle="1" w:styleId="394">
    <w:name w:val="画布位置"/>
    <w:basedOn w:val="1"/>
    <w:next w:val="16"/>
    <w:qFormat/>
    <w:uiPriority w:val="0"/>
    <w:pPr>
      <w:widowControl w:val="0"/>
      <w:ind w:left="-200" w:leftChars="-200"/>
    </w:pPr>
    <w:rPr>
      <w:rFonts w:eastAsia="仿宋_GB2312"/>
      <w:sz w:val="24"/>
      <w:szCs w:val="24"/>
    </w:rPr>
  </w:style>
  <w:style w:type="paragraph" w:customStyle="1" w:styleId="395">
    <w:name w:val="四号正文"/>
    <w:basedOn w:val="1"/>
    <w:qFormat/>
    <w:uiPriority w:val="0"/>
    <w:pPr>
      <w:widowControl w:val="0"/>
      <w:spacing w:line="360" w:lineRule="auto"/>
      <w:ind w:firstLine="560" w:firstLineChars="200"/>
    </w:pPr>
    <w:rPr>
      <w:rFonts w:eastAsia="仿宋_GB2312"/>
      <w:sz w:val="28"/>
      <w:szCs w:val="28"/>
    </w:rPr>
  </w:style>
  <w:style w:type="paragraph" w:customStyle="1" w:styleId="396">
    <w:name w:val="列表3"/>
    <w:basedOn w:val="1"/>
    <w:qFormat/>
    <w:uiPriority w:val="0"/>
    <w:pPr>
      <w:widowControl w:val="0"/>
      <w:tabs>
        <w:tab w:val="left" w:pos="3175"/>
      </w:tabs>
      <w:spacing w:beforeLines="50" w:afterLines="50" w:line="360" w:lineRule="auto"/>
      <w:ind w:left="3175" w:hanging="680"/>
      <w:jc w:val="left"/>
    </w:pPr>
    <w:rPr>
      <w:rFonts w:eastAsia="仿宋_GB2312"/>
      <w:kern w:val="0"/>
      <w:sz w:val="24"/>
    </w:rPr>
  </w:style>
  <w:style w:type="paragraph" w:customStyle="1" w:styleId="397">
    <w:name w:val="样式 标题 1H1SAHeading 1Head 1Head 11Head 12Head 111Head 13H..."/>
    <w:basedOn w:val="2"/>
    <w:qFormat/>
    <w:uiPriority w:val="0"/>
    <w:pPr>
      <w:pageBreakBefore/>
      <w:tabs>
        <w:tab w:val="left" w:pos="432"/>
      </w:tabs>
      <w:spacing w:line="578" w:lineRule="auto"/>
      <w:ind w:left="432" w:hanging="432"/>
      <w:jc w:val="left"/>
    </w:pPr>
    <w:rPr>
      <w:rFonts w:ascii="Calibri" w:hAnsi="Calibri" w:cs="宋体"/>
      <w:kern w:val="2"/>
      <w:sz w:val="28"/>
      <w:lang w:eastAsia="en-US" w:bidi="en-US"/>
    </w:rPr>
  </w:style>
  <w:style w:type="paragraph" w:customStyle="1" w:styleId="398">
    <w:name w:val="正文题3"/>
    <w:basedOn w:val="4"/>
    <w:next w:val="99"/>
    <w:qFormat/>
    <w:uiPriority w:val="0"/>
    <w:pPr>
      <w:widowControl w:val="0"/>
      <w:spacing w:before="0" w:after="0" w:line="360" w:lineRule="auto"/>
    </w:pPr>
    <w:rPr>
      <w:b w:val="0"/>
      <w:sz w:val="28"/>
    </w:rPr>
  </w:style>
  <w:style w:type="paragraph" w:customStyle="1" w:styleId="399">
    <w:name w:val="目录"/>
    <w:basedOn w:val="195"/>
    <w:qFormat/>
    <w:uiPriority w:val="0"/>
    <w:pPr>
      <w:spacing w:before="120" w:after="120" w:line="360" w:lineRule="auto"/>
    </w:pPr>
    <w:rPr>
      <w:rFonts w:eastAsia="宋体"/>
      <w:szCs w:val="44"/>
    </w:rPr>
  </w:style>
  <w:style w:type="paragraph" w:customStyle="1" w:styleId="400">
    <w:name w:val="扉页_公司名称"/>
    <w:qFormat/>
    <w:uiPriority w:val="0"/>
    <w:pPr>
      <w:jc w:val="center"/>
    </w:pPr>
    <w:rPr>
      <w:rFonts w:ascii="Times New Roman" w:hAnsi="Times New Roman" w:eastAsia="黑体" w:cs="Times New Roman"/>
      <w:kern w:val="2"/>
      <w:sz w:val="32"/>
      <w:szCs w:val="24"/>
      <w:lang w:val="en-US" w:eastAsia="zh-CN" w:bidi="ar-SA"/>
    </w:rPr>
  </w:style>
  <w:style w:type="paragraph" w:customStyle="1" w:styleId="401">
    <w:name w:val="样式 标题 3 Char + 黑体 四号 行距: 多倍行距 1.73 字行"/>
    <w:basedOn w:val="4"/>
    <w:qFormat/>
    <w:uiPriority w:val="0"/>
    <w:pPr>
      <w:widowControl w:val="0"/>
      <w:spacing w:before="0" w:after="0" w:line="415" w:lineRule="auto"/>
    </w:pPr>
    <w:rPr>
      <w:rFonts w:ascii="黑体" w:hAnsi="Arial" w:eastAsia="黑体" w:cs="宋体"/>
      <w:b w:val="0"/>
      <w:sz w:val="28"/>
      <w:szCs w:val="28"/>
    </w:rPr>
  </w:style>
  <w:style w:type="paragraph" w:customStyle="1" w:styleId="402">
    <w:name w:val="Char1 Char Char Char3"/>
    <w:basedOn w:val="1"/>
    <w:qFormat/>
    <w:uiPriority w:val="0"/>
    <w:pPr>
      <w:spacing w:after="160" w:line="240" w:lineRule="exact"/>
      <w:jc w:val="left"/>
    </w:pPr>
    <w:rPr>
      <w:rFonts w:ascii="Verdana" w:hAnsi="Verdana" w:eastAsia="仿宋_GB2312"/>
      <w:kern w:val="0"/>
      <w:sz w:val="20"/>
      <w:lang w:eastAsia="en-US"/>
    </w:rPr>
  </w:style>
  <w:style w:type="paragraph" w:customStyle="1" w:styleId="403">
    <w:name w:val="Char13"/>
    <w:basedOn w:val="1"/>
    <w:qFormat/>
    <w:uiPriority w:val="0"/>
    <w:pPr>
      <w:widowControl w:val="0"/>
    </w:pPr>
    <w:rPr>
      <w:rFonts w:ascii="Tahoma" w:hAnsi="Tahoma" w:eastAsia="仿宋_GB2312"/>
      <w:sz w:val="24"/>
    </w:rPr>
  </w:style>
  <w:style w:type="paragraph" w:customStyle="1" w:styleId="404">
    <w:name w:val="封面书名"/>
    <w:qFormat/>
    <w:uiPriority w:val="0"/>
    <w:pPr>
      <w:spacing w:before="120" w:after="120" w:line="360" w:lineRule="auto"/>
      <w:jc w:val="center"/>
    </w:pPr>
    <w:rPr>
      <w:rFonts w:ascii="Arial" w:hAnsi="Arial" w:eastAsia="黑体" w:cs="Times New Roman"/>
      <w:b/>
      <w:sz w:val="48"/>
      <w:lang w:val="en-US" w:eastAsia="zh-CN" w:bidi="ar-SA"/>
    </w:rPr>
  </w:style>
  <w:style w:type="paragraph" w:customStyle="1" w:styleId="405">
    <w:name w:val="样式 小四 行距: 多倍行距 1.45 字行"/>
    <w:basedOn w:val="1"/>
    <w:qFormat/>
    <w:uiPriority w:val="0"/>
    <w:pPr>
      <w:widowControl w:val="0"/>
      <w:adjustRightInd w:val="0"/>
      <w:spacing w:line="348" w:lineRule="auto"/>
      <w:ind w:firstLine="480" w:firstLineChars="200"/>
      <w:textAlignment w:val="baseline"/>
    </w:pPr>
    <w:rPr>
      <w:rFonts w:eastAsia="仿宋_GB2312" w:cs="宋体"/>
      <w:sz w:val="28"/>
      <w:szCs w:val="28"/>
    </w:rPr>
  </w:style>
  <w:style w:type="paragraph" w:customStyle="1" w:styleId="406">
    <w:name w:val="样式 标题 2H2h2h21Underrubrik1prop2HD2Heading 2 HiddenHeadin..."/>
    <w:basedOn w:val="3"/>
    <w:qFormat/>
    <w:uiPriority w:val="0"/>
    <w:pPr>
      <w:widowControl w:val="0"/>
      <w:tabs>
        <w:tab w:val="left" w:pos="576"/>
      </w:tabs>
      <w:adjustRightInd w:val="0"/>
      <w:spacing w:before="0" w:after="0" w:line="312" w:lineRule="auto"/>
      <w:ind w:left="576" w:hanging="576"/>
    </w:pPr>
    <w:rPr>
      <w:rFonts w:ascii="宋体" w:hAnsi="宋体" w:eastAsia="仿宋_GB2312" w:cs="Arial Unicode MS"/>
      <w:b w:val="0"/>
      <w:bCs w:val="0"/>
      <w:sz w:val="28"/>
      <w:szCs w:val="20"/>
      <w:lang w:eastAsia="en-US" w:bidi="en-US"/>
    </w:rPr>
  </w:style>
  <w:style w:type="paragraph" w:customStyle="1" w:styleId="407">
    <w:name w:val="正文标题2"/>
    <w:basedOn w:val="3"/>
    <w:qFormat/>
    <w:uiPriority w:val="0"/>
    <w:pPr>
      <w:widowControl w:val="0"/>
      <w:spacing w:before="0" w:after="0" w:line="240" w:lineRule="auto"/>
    </w:pPr>
    <w:rPr>
      <w:rFonts w:ascii="Arial" w:hAnsi="Arial" w:eastAsia="仿宋_GB2312"/>
      <w:b w:val="0"/>
      <w:bCs w:val="0"/>
      <w:sz w:val="28"/>
    </w:rPr>
  </w:style>
  <w:style w:type="paragraph" w:customStyle="1" w:styleId="408">
    <w:name w:val="列表1"/>
    <w:basedOn w:val="1"/>
    <w:qFormat/>
    <w:uiPriority w:val="0"/>
    <w:pPr>
      <w:widowControl w:val="0"/>
      <w:tabs>
        <w:tab w:val="left" w:pos="2041"/>
      </w:tabs>
      <w:spacing w:beforeLines="50" w:afterLines="50" w:line="360" w:lineRule="auto"/>
      <w:ind w:left="2041" w:hanging="680"/>
      <w:jc w:val="left"/>
    </w:pPr>
    <w:rPr>
      <w:rFonts w:eastAsia="仿宋_GB2312"/>
      <w:kern w:val="0"/>
      <w:sz w:val="24"/>
    </w:rPr>
  </w:style>
  <w:style w:type="paragraph" w:customStyle="1" w:styleId="409">
    <w:name w:val="文字"/>
    <w:basedOn w:val="1"/>
    <w:qFormat/>
    <w:uiPriority w:val="0"/>
    <w:pPr>
      <w:widowControl w:val="0"/>
      <w:tabs>
        <w:tab w:val="left" w:pos="8520"/>
      </w:tabs>
      <w:spacing w:line="312" w:lineRule="auto"/>
      <w:ind w:right="-210" w:firstLine="556"/>
    </w:pPr>
    <w:rPr>
      <w:rFonts w:ascii="宋体" w:eastAsia="仿宋_GB2312"/>
      <w:sz w:val="28"/>
    </w:rPr>
  </w:style>
  <w:style w:type="paragraph" w:customStyle="1" w:styleId="410">
    <w:name w:val="报告正文 Char Char"/>
    <w:basedOn w:val="1"/>
    <w:qFormat/>
    <w:uiPriority w:val="0"/>
    <w:pPr>
      <w:widowControl w:val="0"/>
      <w:ind w:firstLine="560"/>
    </w:pPr>
    <w:rPr>
      <w:rFonts w:eastAsia="仿宋_GB2312"/>
      <w:sz w:val="28"/>
      <w:szCs w:val="24"/>
    </w:rPr>
  </w:style>
  <w:style w:type="paragraph" w:customStyle="1" w:styleId="411">
    <w:name w:val="xl104"/>
    <w:basedOn w:val="1"/>
    <w:qFormat/>
    <w:uiPriority w:val="0"/>
    <w:pPr>
      <w:pBdr>
        <w:top w:val="single" w:color="auto" w:sz="4" w:space="0"/>
        <w:left w:val="single" w:color="auto" w:sz="4" w:space="0"/>
        <w:bottom w:val="single" w:color="auto" w:sz="4" w:space="0"/>
      </w:pBdr>
      <w:spacing w:before="100" w:beforeAutospacing="1" w:after="100" w:afterAutospacing="1"/>
      <w:jc w:val="center"/>
    </w:pPr>
    <w:rPr>
      <w:rFonts w:ascii="仿宋" w:hAnsi="仿宋" w:eastAsia="仿宋" w:cs="宋体"/>
      <w:b/>
      <w:bCs/>
      <w:kern w:val="0"/>
      <w:sz w:val="20"/>
    </w:rPr>
  </w:style>
  <w:style w:type="paragraph" w:customStyle="1" w:styleId="412">
    <w:name w:val="页眉2"/>
    <w:basedOn w:val="1"/>
    <w:qFormat/>
    <w:uiPriority w:val="0"/>
    <w:pPr>
      <w:spacing w:before="100" w:beforeAutospacing="1" w:after="100" w:afterAutospacing="1" w:line="400" w:lineRule="atLeast"/>
      <w:jc w:val="left"/>
    </w:pPr>
    <w:rPr>
      <w:rFonts w:ascii="ˎ̥" w:hAnsi="ˎ̥" w:eastAsia="仿宋_GB2312" w:cs="宋体"/>
      <w:b/>
      <w:bCs/>
      <w:color w:val="4B9BE7"/>
      <w:kern w:val="0"/>
      <w:sz w:val="24"/>
      <w:szCs w:val="21"/>
    </w:rPr>
  </w:style>
  <w:style w:type="paragraph" w:customStyle="1" w:styleId="413">
    <w:name w:val="xl3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top"/>
    </w:pPr>
    <w:rPr>
      <w:rFonts w:ascii="仿宋_GB2312" w:hAnsi="宋体" w:eastAsia="仿宋_GB2312" w:cs="宋体"/>
      <w:b/>
      <w:bCs/>
      <w:kern w:val="0"/>
      <w:sz w:val="24"/>
      <w:szCs w:val="24"/>
    </w:rPr>
  </w:style>
  <w:style w:type="paragraph" w:customStyle="1" w:styleId="414">
    <w:name w:val="Char Char Char2 Char2"/>
    <w:basedOn w:val="1"/>
    <w:qFormat/>
    <w:uiPriority w:val="0"/>
    <w:pPr>
      <w:keepNext/>
      <w:keepLines/>
      <w:widowControl w:val="0"/>
      <w:tabs>
        <w:tab w:val="left" w:pos="856"/>
      </w:tabs>
      <w:ind w:left="856" w:firstLine="560" w:firstLineChars="200"/>
    </w:pPr>
    <w:rPr>
      <w:rFonts w:ascii="Tahoma" w:hAnsi="Tahoma" w:eastAsia="仿宋_GB2312"/>
      <w:sz w:val="24"/>
      <w:szCs w:val="28"/>
    </w:rPr>
  </w:style>
  <w:style w:type="paragraph" w:customStyle="1" w:styleId="415">
    <w:name w:val="font14"/>
    <w:basedOn w:val="1"/>
    <w:qFormat/>
    <w:uiPriority w:val="0"/>
    <w:pPr>
      <w:spacing w:before="100" w:beforeAutospacing="1" w:after="100" w:afterAutospacing="1"/>
      <w:jc w:val="left"/>
    </w:pPr>
    <w:rPr>
      <w:kern w:val="0"/>
      <w:sz w:val="20"/>
    </w:rPr>
  </w:style>
  <w:style w:type="paragraph" w:customStyle="1" w:styleId="416">
    <w:name w:val="xl10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仿宋_GB2312" w:cs="宋体"/>
      <w:color w:val="000000"/>
      <w:kern w:val="0"/>
      <w:sz w:val="20"/>
    </w:rPr>
  </w:style>
  <w:style w:type="paragraph" w:customStyle="1" w:styleId="417">
    <w:name w:val="hj style28"/>
    <w:basedOn w:val="1"/>
    <w:qFormat/>
    <w:uiPriority w:val="0"/>
    <w:pPr>
      <w:tabs>
        <w:tab w:val="left" w:pos="1500"/>
      </w:tabs>
      <w:autoSpaceDE w:val="0"/>
      <w:autoSpaceDN w:val="0"/>
      <w:adjustRightInd w:val="0"/>
      <w:spacing w:before="100" w:beforeAutospacing="1" w:after="100" w:afterAutospacing="1"/>
      <w:jc w:val="left"/>
    </w:pPr>
    <w:rPr>
      <w:rFonts w:ascii="宋体" w:hAnsi="宋体" w:eastAsia="仿宋_GB2312" w:cs="宋体"/>
      <w:kern w:val="0"/>
      <w:sz w:val="24"/>
      <w:szCs w:val="24"/>
    </w:rPr>
  </w:style>
  <w:style w:type="paragraph" w:customStyle="1" w:styleId="418">
    <w:name w:val="xl5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kern w:val="0"/>
      <w:szCs w:val="21"/>
    </w:rPr>
  </w:style>
  <w:style w:type="paragraph" w:customStyle="1" w:styleId="419">
    <w:name w:val="样式 目录 + 段前: 12 磅 段后: 12 磅"/>
    <w:basedOn w:val="399"/>
    <w:qFormat/>
    <w:uiPriority w:val="0"/>
    <w:pPr>
      <w:spacing w:after="0"/>
    </w:pPr>
    <w:rPr>
      <w:rFonts w:cs="宋体"/>
      <w:bCs/>
      <w:szCs w:val="20"/>
    </w:rPr>
  </w:style>
  <w:style w:type="paragraph" w:customStyle="1" w:styleId="420">
    <w:name w:val="样式 标题 4 + (西文) Times New Roman"/>
    <w:basedOn w:val="5"/>
    <w:qFormat/>
    <w:uiPriority w:val="0"/>
    <w:pPr>
      <w:widowControl w:val="0"/>
      <w:tabs>
        <w:tab w:val="left" w:pos="425"/>
        <w:tab w:val="left" w:pos="900"/>
      </w:tabs>
      <w:spacing w:before="120" w:after="0" w:line="360" w:lineRule="auto"/>
      <w:jc w:val="left"/>
    </w:pPr>
    <w:rPr>
      <w:rFonts w:ascii="Times New Roman" w:hAnsi="Times New Roman"/>
      <w:sz w:val="32"/>
      <w:szCs w:val="32"/>
    </w:rPr>
  </w:style>
  <w:style w:type="paragraph" w:customStyle="1" w:styleId="421">
    <w:name w:val="xl8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rPr>
  </w:style>
  <w:style w:type="paragraph" w:customStyle="1" w:styleId="422">
    <w:name w:val="xl8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423">
    <w:name w:val="xl8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24">
    <w:name w:val="xl4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eastAsia="仿宋_GB2312" w:cs="宋体"/>
      <w:kern w:val="0"/>
      <w:sz w:val="24"/>
      <w:szCs w:val="24"/>
    </w:rPr>
  </w:style>
  <w:style w:type="paragraph" w:customStyle="1" w:styleId="425">
    <w:name w:val="font11"/>
    <w:basedOn w:val="1"/>
    <w:qFormat/>
    <w:uiPriority w:val="0"/>
    <w:pPr>
      <w:spacing w:before="100" w:beforeAutospacing="1" w:after="100" w:afterAutospacing="1"/>
      <w:jc w:val="left"/>
    </w:pPr>
    <w:rPr>
      <w:rFonts w:ascii="宋体" w:hAnsi="宋体" w:cs="宋体"/>
      <w:kern w:val="0"/>
      <w:sz w:val="18"/>
      <w:szCs w:val="18"/>
    </w:rPr>
  </w:style>
  <w:style w:type="paragraph" w:customStyle="1" w:styleId="426">
    <w:name w:val="xl3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仿宋_GB2312" w:cs="宋体"/>
      <w:b/>
      <w:bCs/>
      <w:kern w:val="0"/>
      <w:sz w:val="16"/>
      <w:szCs w:val="16"/>
    </w:rPr>
  </w:style>
  <w:style w:type="paragraph" w:customStyle="1" w:styleId="427">
    <w:name w:val="封面_项目名称"/>
    <w:qFormat/>
    <w:uiPriority w:val="0"/>
    <w:pPr>
      <w:jc w:val="center"/>
    </w:pPr>
    <w:rPr>
      <w:rFonts w:ascii="Times New Roman" w:hAnsi="Times New Roman" w:eastAsia="宋体" w:cs="Times New Roman"/>
      <w:kern w:val="2"/>
      <w:sz w:val="44"/>
      <w:szCs w:val="24"/>
      <w:lang w:val="en-US" w:eastAsia="zh-CN" w:bidi="ar-SA"/>
    </w:rPr>
  </w:style>
  <w:style w:type="paragraph" w:customStyle="1" w:styleId="428">
    <w:name w:val="普通正文"/>
    <w:basedOn w:val="1"/>
    <w:qFormat/>
    <w:uiPriority w:val="0"/>
    <w:pPr>
      <w:tabs>
        <w:tab w:val="left" w:pos="1500"/>
      </w:tabs>
      <w:autoSpaceDE w:val="0"/>
      <w:autoSpaceDN w:val="0"/>
      <w:adjustRightInd w:val="0"/>
      <w:snapToGrid w:val="0"/>
      <w:spacing w:line="360" w:lineRule="auto"/>
      <w:ind w:firstLine="540" w:firstLineChars="225"/>
      <w:jc w:val="left"/>
      <w:textAlignment w:val="baseline"/>
    </w:pPr>
    <w:rPr>
      <w:rFonts w:ascii="Arial" w:hAnsi="Arial" w:eastAsia="仿宋_GB2312"/>
      <w:bCs/>
      <w:kern w:val="0"/>
      <w:sz w:val="24"/>
    </w:rPr>
  </w:style>
  <w:style w:type="paragraph" w:customStyle="1" w:styleId="429">
    <w:name w:val="Char Char Char Char2 Char Char Char1"/>
    <w:basedOn w:val="1"/>
    <w:qFormat/>
    <w:uiPriority w:val="0"/>
    <w:pPr>
      <w:spacing w:after="160" w:line="240" w:lineRule="exact"/>
      <w:jc w:val="left"/>
    </w:pPr>
    <w:rPr>
      <w:rFonts w:ascii="Verdana" w:hAnsi="Verdana"/>
      <w:kern w:val="0"/>
      <w:sz w:val="20"/>
      <w:lang w:eastAsia="en-US"/>
    </w:rPr>
  </w:style>
  <w:style w:type="paragraph" w:customStyle="1" w:styleId="430">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0"/>
    </w:rPr>
  </w:style>
  <w:style w:type="paragraph" w:customStyle="1" w:styleId="431">
    <w:name w:val="正文格式"/>
    <w:basedOn w:val="1"/>
    <w:link w:val="867"/>
    <w:qFormat/>
    <w:uiPriority w:val="99"/>
    <w:pPr>
      <w:widowControl w:val="0"/>
      <w:spacing w:line="360" w:lineRule="auto"/>
      <w:ind w:firstLine="561"/>
    </w:pPr>
    <w:rPr>
      <w:rFonts w:eastAsia="仿宋_GB2312"/>
      <w:sz w:val="28"/>
      <w:szCs w:val="24"/>
    </w:rPr>
  </w:style>
  <w:style w:type="paragraph" w:customStyle="1" w:styleId="432">
    <w:name w:val="样式 (中文) 黑体 居中 首行缩进:  0 厘米 段前: 6 磅 段后: 6 磅 行距: 单倍行距"/>
    <w:basedOn w:val="1"/>
    <w:qFormat/>
    <w:uiPriority w:val="0"/>
    <w:pPr>
      <w:widowControl w:val="0"/>
      <w:spacing w:before="120" w:after="120"/>
      <w:jc w:val="center"/>
    </w:pPr>
    <w:rPr>
      <w:rFonts w:eastAsia="黑体" w:cs="宋体"/>
      <w:sz w:val="28"/>
    </w:rPr>
  </w:style>
  <w:style w:type="paragraph" w:customStyle="1" w:styleId="433">
    <w:name w:val="Char Char Char Char1 Char Char Char Char Char Char Char Char Char Char Char Char Char Char Char Char Char Char Char Char Char Char Char Char Char Char1 Char Char Char Char Char Char Char Char Char Char Char Char Char Char2"/>
    <w:basedOn w:val="1"/>
    <w:qFormat/>
    <w:uiPriority w:val="0"/>
    <w:pPr>
      <w:keepNext/>
      <w:keepLines/>
      <w:widowControl w:val="0"/>
      <w:tabs>
        <w:tab w:val="left" w:pos="856"/>
      </w:tabs>
      <w:ind w:left="856" w:hanging="432" w:firstLineChars="200"/>
    </w:pPr>
    <w:rPr>
      <w:rFonts w:ascii="Tahoma" w:hAnsi="Tahoma" w:eastAsia="仿宋_GB2312"/>
      <w:sz w:val="24"/>
      <w:szCs w:val="28"/>
    </w:rPr>
  </w:style>
  <w:style w:type="paragraph" w:customStyle="1" w:styleId="434">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435">
    <w:name w:val="font12"/>
    <w:basedOn w:val="1"/>
    <w:qFormat/>
    <w:uiPriority w:val="0"/>
    <w:pPr>
      <w:spacing w:before="100" w:beforeAutospacing="1" w:after="100" w:afterAutospacing="1"/>
      <w:jc w:val="left"/>
    </w:pPr>
    <w:rPr>
      <w:rFonts w:ascii="宋体" w:hAnsi="宋体" w:cs="宋体"/>
      <w:kern w:val="0"/>
      <w:szCs w:val="21"/>
    </w:rPr>
  </w:style>
  <w:style w:type="paragraph" w:customStyle="1" w:styleId="436">
    <w:name w:val="xl8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20"/>
    </w:rPr>
  </w:style>
  <w:style w:type="paragraph" w:customStyle="1" w:styleId="437">
    <w:name w:val="正文样式1"/>
    <w:basedOn w:val="1"/>
    <w:qFormat/>
    <w:uiPriority w:val="0"/>
    <w:pPr>
      <w:widowControl w:val="0"/>
      <w:overflowPunct w:val="0"/>
      <w:autoSpaceDN w:val="0"/>
      <w:spacing w:line="360" w:lineRule="auto"/>
      <w:ind w:firstLine="482"/>
      <w:jc w:val="left"/>
    </w:pPr>
    <w:rPr>
      <w:rFonts w:ascii="黑体"/>
      <w:bCs/>
      <w:sz w:val="24"/>
      <w:szCs w:val="24"/>
    </w:rPr>
  </w:style>
  <w:style w:type="paragraph" w:customStyle="1" w:styleId="438">
    <w:name w:val="图正文1"/>
    <w:basedOn w:val="1"/>
    <w:qFormat/>
    <w:uiPriority w:val="0"/>
    <w:pPr>
      <w:spacing w:line="260" w:lineRule="exact"/>
      <w:jc w:val="center"/>
    </w:pPr>
    <w:rPr>
      <w:rFonts w:ascii="宋体" w:hAnsi="宋体" w:eastAsia="仿宋_GB2312"/>
      <w:kern w:val="0"/>
      <w:sz w:val="24"/>
    </w:rPr>
  </w:style>
  <w:style w:type="paragraph" w:customStyle="1" w:styleId="439">
    <w:name w:val="et19"/>
    <w:basedOn w:val="1"/>
    <w:qFormat/>
    <w:uiPriority w:val="0"/>
    <w:pPr>
      <w:pBdr>
        <w:top w:val="single" w:color="000000" w:sz="4" w:space="0"/>
        <w:left w:val="single" w:color="000000" w:sz="4" w:space="0"/>
        <w:bottom w:val="single" w:color="000000" w:sz="4" w:space="0"/>
        <w:right w:val="single" w:color="000000" w:sz="12" w:space="0"/>
      </w:pBdr>
      <w:spacing w:before="100" w:beforeAutospacing="1" w:after="100" w:afterAutospacing="1"/>
      <w:jc w:val="center"/>
      <w:textAlignment w:val="center"/>
    </w:pPr>
    <w:rPr>
      <w:rFonts w:ascii="宋体" w:hAnsi="宋体" w:cs="宋体"/>
      <w:b/>
      <w:bCs/>
      <w:color w:val="000000"/>
      <w:kern w:val="0"/>
      <w:sz w:val="20"/>
    </w:rPr>
  </w:style>
  <w:style w:type="paragraph" w:customStyle="1" w:styleId="440">
    <w:name w:val="样式 小四 段后: 7.8 磅 行距: 1.5 倍行距"/>
    <w:basedOn w:val="1"/>
    <w:qFormat/>
    <w:uiPriority w:val="0"/>
    <w:pPr>
      <w:widowControl w:val="0"/>
      <w:spacing w:afterLines="50" w:line="360" w:lineRule="auto"/>
      <w:ind w:firstLine="200" w:firstLineChars="200"/>
    </w:pPr>
    <w:rPr>
      <w:rFonts w:eastAsia="仿宋_GB2312" w:cs="宋体"/>
      <w:sz w:val="24"/>
    </w:rPr>
  </w:style>
  <w:style w:type="paragraph" w:customStyle="1" w:styleId="441">
    <w:name w:val="样式 首行缩进:  0.8 厘米1"/>
    <w:basedOn w:val="1"/>
    <w:qFormat/>
    <w:uiPriority w:val="0"/>
    <w:pPr>
      <w:widowControl w:val="0"/>
      <w:spacing w:before="60" w:after="60" w:line="288" w:lineRule="auto"/>
      <w:ind w:firstLine="454"/>
    </w:pPr>
    <w:rPr>
      <w:rFonts w:eastAsia="仿宋_GB2312" w:cs="宋体"/>
      <w:kern w:val="0"/>
      <w:sz w:val="24"/>
      <w:lang w:eastAsia="en-US"/>
    </w:rPr>
  </w:style>
  <w:style w:type="paragraph" w:customStyle="1" w:styleId="442">
    <w:name w:val="1-表头"/>
    <w:basedOn w:val="1"/>
    <w:next w:val="1"/>
    <w:qFormat/>
    <w:uiPriority w:val="0"/>
    <w:pPr>
      <w:widowControl w:val="0"/>
      <w:jc w:val="center"/>
    </w:pPr>
    <w:rPr>
      <w:rFonts w:cs="宋体"/>
      <w:b/>
      <w:sz w:val="24"/>
    </w:rPr>
  </w:style>
  <w:style w:type="paragraph" w:customStyle="1" w:styleId="443">
    <w:name w:val="样式 样式 标题 1章节第一层h1Head1Heading appsBMS Heading 1H1PIM 1Head...1 +..."/>
    <w:basedOn w:val="1"/>
    <w:next w:val="444"/>
    <w:qFormat/>
    <w:uiPriority w:val="0"/>
    <w:pPr>
      <w:widowControl w:val="0"/>
      <w:jc w:val="center"/>
    </w:pPr>
    <w:rPr>
      <w:rFonts w:eastAsia="仿宋_GB2312"/>
      <w:sz w:val="24"/>
      <w:szCs w:val="24"/>
    </w:rPr>
  </w:style>
  <w:style w:type="paragraph" w:customStyle="1" w:styleId="444">
    <w:name w:val="文档正文"/>
    <w:basedOn w:val="1"/>
    <w:qFormat/>
    <w:uiPriority w:val="0"/>
    <w:pPr>
      <w:tabs>
        <w:tab w:val="left" w:pos="1080"/>
        <w:tab w:val="left" w:pos="1500"/>
      </w:tabs>
      <w:autoSpaceDE w:val="0"/>
      <w:autoSpaceDN w:val="0"/>
      <w:adjustRightInd w:val="0"/>
      <w:snapToGrid w:val="0"/>
      <w:spacing w:line="360" w:lineRule="auto"/>
      <w:ind w:firstLine="540" w:firstLineChars="225"/>
      <w:jc w:val="left"/>
      <w:textAlignment w:val="baseline"/>
    </w:pPr>
    <w:rPr>
      <w:rFonts w:ascii="宋体" w:hAnsi="宋体" w:eastAsia="仿宋_GB2312"/>
      <w:bCs/>
      <w:kern w:val="0"/>
      <w:sz w:val="24"/>
    </w:rPr>
  </w:style>
  <w:style w:type="paragraph" w:customStyle="1" w:styleId="445">
    <w:name w:val="样式 标题 1 + 小二"/>
    <w:basedOn w:val="2"/>
    <w:qFormat/>
    <w:uiPriority w:val="0"/>
    <w:pPr>
      <w:widowControl w:val="0"/>
      <w:spacing w:before="0" w:after="0" w:line="360" w:lineRule="auto"/>
      <w:ind w:firstLine="845" w:firstLineChars="845"/>
    </w:pPr>
    <w:rPr>
      <w:rFonts w:ascii="Calibri" w:hAnsi="Calibri" w:eastAsia="黑体" w:cs="宋体"/>
      <w:bCs/>
      <w:sz w:val="36"/>
    </w:rPr>
  </w:style>
  <w:style w:type="paragraph" w:customStyle="1" w:styleId="446">
    <w:name w:val="reader-word-layer"/>
    <w:basedOn w:val="1"/>
    <w:qFormat/>
    <w:uiPriority w:val="0"/>
    <w:pPr>
      <w:spacing w:before="100" w:beforeAutospacing="1" w:after="100" w:afterAutospacing="1"/>
      <w:jc w:val="left"/>
    </w:pPr>
    <w:rPr>
      <w:rFonts w:ascii="宋体" w:hAnsi="宋体" w:cs="宋体"/>
      <w:kern w:val="0"/>
      <w:sz w:val="24"/>
      <w:szCs w:val="24"/>
    </w:rPr>
  </w:style>
  <w:style w:type="paragraph" w:customStyle="1" w:styleId="447">
    <w:name w:val="正文文字缩进"/>
    <w:basedOn w:val="1"/>
    <w:qFormat/>
    <w:uiPriority w:val="0"/>
    <w:pPr>
      <w:spacing w:line="651" w:lineRule="atLeast"/>
      <w:ind w:firstLine="481"/>
      <w:textAlignment w:val="baseline"/>
    </w:pPr>
    <w:rPr>
      <w:rFonts w:ascii="仿宋_GB2312" w:eastAsia="仿宋_GB2312"/>
      <w:color w:val="000000"/>
      <w:kern w:val="0"/>
      <w:sz w:val="24"/>
      <w:u w:color="000000"/>
    </w:rPr>
  </w:style>
  <w:style w:type="paragraph" w:customStyle="1" w:styleId="448">
    <w:name w:val="样式7"/>
    <w:basedOn w:val="1"/>
    <w:qFormat/>
    <w:uiPriority w:val="99"/>
    <w:pPr>
      <w:wordWrap w:val="0"/>
      <w:snapToGrid w:val="0"/>
      <w:jc w:val="right"/>
    </w:pPr>
    <w:rPr>
      <w:rFonts w:ascii="黑体" w:eastAsia="黑体" w:cs="宋体"/>
      <w:bCs/>
      <w:spacing w:val="20"/>
      <w:kern w:val="0"/>
      <w:szCs w:val="21"/>
    </w:rPr>
  </w:style>
  <w:style w:type="paragraph" w:customStyle="1" w:styleId="449">
    <w:name w:val="样式 标题 2 + 居中"/>
    <w:basedOn w:val="3"/>
    <w:qFormat/>
    <w:uiPriority w:val="0"/>
    <w:pPr>
      <w:pageBreakBefore/>
      <w:widowControl w:val="0"/>
      <w:spacing w:line="415" w:lineRule="auto"/>
      <w:jc w:val="center"/>
    </w:pPr>
    <w:rPr>
      <w:rFonts w:ascii="Arial" w:hAnsi="Arial" w:eastAsia="仿宋_GB2312" w:cs="宋体"/>
      <w:b w:val="0"/>
      <w:bCs w:val="0"/>
      <w:sz w:val="28"/>
      <w:szCs w:val="20"/>
    </w:rPr>
  </w:style>
  <w:style w:type="paragraph" w:customStyle="1" w:styleId="450">
    <w:name w:val="样式 标题 2 +"/>
    <w:basedOn w:val="3"/>
    <w:qFormat/>
    <w:uiPriority w:val="0"/>
    <w:pPr>
      <w:widowControl w:val="0"/>
      <w:tabs>
        <w:tab w:val="left" w:pos="567"/>
      </w:tabs>
      <w:adjustRightInd w:val="0"/>
      <w:ind w:left="567" w:hanging="567"/>
    </w:pPr>
    <w:rPr>
      <w:rFonts w:ascii="Arial" w:hAnsi="Arial" w:eastAsia="仿宋_GB2312" w:cs="Arial"/>
      <w:b w:val="0"/>
      <w:bCs w:val="0"/>
      <w:sz w:val="28"/>
      <w:lang w:eastAsia="en-US" w:bidi="en-US"/>
    </w:rPr>
  </w:style>
  <w:style w:type="paragraph" w:customStyle="1" w:styleId="451">
    <w:name w:val="xl6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rPr>
  </w:style>
  <w:style w:type="paragraph" w:customStyle="1" w:styleId="452">
    <w:name w:val="xl4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仿宋_GB2312" w:cs="宋体"/>
      <w:kern w:val="0"/>
      <w:sz w:val="24"/>
      <w:szCs w:val="24"/>
    </w:rPr>
  </w:style>
  <w:style w:type="paragraph" w:customStyle="1" w:styleId="453">
    <w:name w:val="正文幼5号"/>
    <w:basedOn w:val="1"/>
    <w:qFormat/>
    <w:uiPriority w:val="0"/>
    <w:pPr>
      <w:spacing w:after="200" w:line="252" w:lineRule="auto"/>
      <w:jc w:val="left"/>
    </w:pPr>
    <w:rPr>
      <w:rFonts w:ascii="Cambria" w:hAnsi="Cambria" w:eastAsia="幼圆"/>
      <w:kern w:val="0"/>
      <w:sz w:val="22"/>
      <w:lang w:eastAsia="en-US" w:bidi="en-US"/>
    </w:rPr>
  </w:style>
  <w:style w:type="paragraph" w:customStyle="1" w:styleId="454">
    <w:name w:val="样式 样式 正文（首行缩进两字） + TimesNewRomanPSMT + 首行缩进:  2 字符"/>
    <w:basedOn w:val="1"/>
    <w:qFormat/>
    <w:uiPriority w:val="0"/>
    <w:pPr>
      <w:widowControl w:val="0"/>
      <w:spacing w:before="240" w:line="360" w:lineRule="auto"/>
      <w:ind w:firstLine="480" w:firstLineChars="200"/>
    </w:pPr>
    <w:rPr>
      <w:rFonts w:ascii="TimesNewRomanPSMT" w:hAnsi="TimesNewRomanPSMT" w:eastAsia="仿宋_GB2312" w:cs="宋体"/>
      <w:kern w:val="0"/>
      <w:sz w:val="24"/>
    </w:rPr>
  </w:style>
  <w:style w:type="paragraph" w:customStyle="1" w:styleId="455">
    <w:name w:val="Char2"/>
    <w:basedOn w:val="1"/>
    <w:uiPriority w:val="0"/>
    <w:pPr>
      <w:tabs>
        <w:tab w:val="left" w:pos="1500"/>
      </w:tabs>
      <w:autoSpaceDE w:val="0"/>
      <w:autoSpaceDN w:val="0"/>
      <w:adjustRightInd w:val="0"/>
      <w:spacing w:line="360" w:lineRule="auto"/>
      <w:ind w:firstLine="200" w:firstLineChars="225"/>
      <w:jc w:val="left"/>
    </w:pPr>
    <w:rPr>
      <w:rFonts w:ascii="Tahoma" w:hAnsi="Tahoma" w:eastAsia="Times New Roman"/>
      <w:kern w:val="0"/>
      <w:sz w:val="24"/>
      <w:szCs w:val="24"/>
      <w:lang w:eastAsia="en-US"/>
    </w:rPr>
  </w:style>
  <w:style w:type="paragraph" w:customStyle="1" w:styleId="456">
    <w:name w:val="页眉1"/>
    <w:basedOn w:val="1"/>
    <w:uiPriority w:val="99"/>
    <w:pPr>
      <w:spacing w:before="100" w:beforeAutospacing="1" w:after="100" w:afterAutospacing="1" w:line="400" w:lineRule="atLeast"/>
      <w:jc w:val="left"/>
    </w:pPr>
    <w:rPr>
      <w:rFonts w:ascii="ˎ̥" w:hAnsi="ˎ̥" w:eastAsia="仿宋_GB2312" w:cs="宋体"/>
      <w:b/>
      <w:bCs/>
      <w:color w:val="4B9BE7"/>
      <w:kern w:val="0"/>
      <w:sz w:val="24"/>
      <w:szCs w:val="21"/>
    </w:rPr>
  </w:style>
  <w:style w:type="paragraph" w:customStyle="1" w:styleId="457">
    <w:name w:val="正文内容"/>
    <w:basedOn w:val="1"/>
    <w:uiPriority w:val="0"/>
    <w:pPr>
      <w:tabs>
        <w:tab w:val="left" w:pos="1500"/>
      </w:tabs>
      <w:autoSpaceDE w:val="0"/>
      <w:autoSpaceDN w:val="0"/>
      <w:adjustRightInd w:val="0"/>
      <w:snapToGrid w:val="0"/>
      <w:spacing w:line="360" w:lineRule="auto"/>
      <w:ind w:firstLine="540" w:firstLineChars="225"/>
    </w:pPr>
    <w:rPr>
      <w:rFonts w:ascii="楷体_GB2312" w:hAnsi="宋体" w:eastAsia="楷体_GB2312"/>
      <w:bCs/>
      <w:sz w:val="24"/>
      <w:szCs w:val="24"/>
      <w:lang w:val="en-GB"/>
    </w:rPr>
  </w:style>
  <w:style w:type="paragraph" w:customStyle="1" w:styleId="458">
    <w:name w:val="目录31"/>
    <w:basedOn w:val="1"/>
    <w:uiPriority w:val="0"/>
    <w:pPr>
      <w:widowControl w:val="0"/>
      <w:tabs>
        <w:tab w:val="right" w:leader="dot" w:pos="7927"/>
      </w:tabs>
      <w:adjustRightInd w:val="0"/>
      <w:snapToGrid w:val="0"/>
      <w:spacing w:line="440" w:lineRule="atLeast"/>
      <w:textAlignment w:val="baseline"/>
    </w:pPr>
    <w:rPr>
      <w:rFonts w:eastAsia="仿宋_GB2312"/>
      <w:snapToGrid w:val="0"/>
      <w:kern w:val="0"/>
      <w:sz w:val="28"/>
    </w:rPr>
  </w:style>
  <w:style w:type="paragraph" w:customStyle="1" w:styleId="459">
    <w:name w:val="xl5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460">
    <w:name w:val="et39"/>
    <w:basedOn w:val="1"/>
    <w:qFormat/>
    <w:uiPriority w:val="0"/>
    <w:pPr>
      <w:spacing w:before="100" w:beforeAutospacing="1" w:after="100" w:afterAutospacing="1"/>
      <w:jc w:val="center"/>
      <w:textAlignment w:val="center"/>
    </w:pPr>
    <w:rPr>
      <w:rFonts w:ascii="宋体" w:hAnsi="宋体" w:cs="宋体"/>
      <w:b/>
      <w:bCs/>
      <w:color w:val="000000"/>
      <w:kern w:val="0"/>
      <w:sz w:val="28"/>
      <w:szCs w:val="28"/>
    </w:rPr>
  </w:style>
  <w:style w:type="paragraph" w:customStyle="1" w:styleId="461">
    <w:name w:val="Char Char Char3"/>
    <w:basedOn w:val="1"/>
    <w:qFormat/>
    <w:uiPriority w:val="0"/>
    <w:pPr>
      <w:spacing w:after="160" w:line="240" w:lineRule="exact"/>
      <w:ind w:firstLine="200" w:firstLineChars="200"/>
      <w:jc w:val="left"/>
    </w:pPr>
    <w:rPr>
      <w:rFonts w:ascii="Verdana" w:hAnsi="Verdana" w:eastAsia="仿宋_GB2312"/>
      <w:kern w:val="0"/>
      <w:sz w:val="28"/>
      <w:lang w:val="en-GB" w:eastAsia="en-US"/>
    </w:rPr>
  </w:style>
  <w:style w:type="paragraph" w:customStyle="1" w:styleId="462">
    <w:name w:val="font4"/>
    <w:basedOn w:val="1"/>
    <w:qFormat/>
    <w:uiPriority w:val="0"/>
    <w:pPr>
      <w:spacing w:before="100" w:beforeAutospacing="1" w:after="100" w:afterAutospacing="1"/>
      <w:jc w:val="left"/>
    </w:pPr>
    <w:rPr>
      <w:color w:val="000000"/>
      <w:kern w:val="0"/>
      <w:sz w:val="28"/>
      <w:szCs w:val="28"/>
    </w:rPr>
  </w:style>
  <w:style w:type="paragraph" w:customStyle="1" w:styleId="463">
    <w:name w:val="xl121"/>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464">
    <w:name w:val="Char Char Char Char2 Char Char Char3"/>
    <w:basedOn w:val="1"/>
    <w:uiPriority w:val="0"/>
    <w:pPr>
      <w:spacing w:after="160" w:line="240" w:lineRule="exact"/>
      <w:jc w:val="left"/>
    </w:pPr>
    <w:rPr>
      <w:rFonts w:ascii="Verdana" w:hAnsi="Verdana" w:eastAsia="仿宋_GB2312"/>
      <w:kern w:val="0"/>
      <w:sz w:val="20"/>
      <w:lang w:eastAsia="en-US"/>
    </w:rPr>
  </w:style>
  <w:style w:type="paragraph" w:customStyle="1" w:styleId="465">
    <w:name w:val="Char4"/>
    <w:basedOn w:val="1"/>
    <w:uiPriority w:val="0"/>
    <w:pPr>
      <w:tabs>
        <w:tab w:val="left" w:pos="1500"/>
      </w:tabs>
      <w:autoSpaceDE w:val="0"/>
      <w:autoSpaceDN w:val="0"/>
      <w:adjustRightInd w:val="0"/>
      <w:spacing w:line="360" w:lineRule="auto"/>
      <w:ind w:firstLine="200" w:firstLineChars="225"/>
      <w:jc w:val="left"/>
    </w:pPr>
    <w:rPr>
      <w:rFonts w:ascii="Tahoma" w:hAnsi="Tahoma" w:eastAsia="Times New Roman"/>
      <w:kern w:val="0"/>
      <w:sz w:val="24"/>
      <w:szCs w:val="24"/>
      <w:lang w:eastAsia="en-US"/>
    </w:rPr>
  </w:style>
  <w:style w:type="paragraph" w:customStyle="1" w:styleId="466">
    <w:name w:val="Char Char Char Char"/>
    <w:basedOn w:val="1"/>
    <w:next w:val="1"/>
    <w:uiPriority w:val="0"/>
    <w:pPr>
      <w:keepNext/>
      <w:keepLines/>
      <w:adjustRightInd w:val="0"/>
      <w:spacing w:before="360" w:after="480" w:line="360" w:lineRule="auto"/>
      <w:ind w:firstLine="200" w:firstLineChars="200"/>
      <w:jc w:val="left"/>
      <w:outlineLvl w:val="2"/>
    </w:pPr>
    <w:rPr>
      <w:rFonts w:ascii="宋体" w:hAnsi="宋体" w:cs="宋体"/>
      <w:b/>
      <w:bCs/>
      <w:kern w:val="0"/>
      <w:sz w:val="30"/>
      <w:szCs w:val="28"/>
    </w:rPr>
  </w:style>
  <w:style w:type="paragraph" w:customStyle="1" w:styleId="467">
    <w:name w:val="xl2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top"/>
    </w:pPr>
    <w:rPr>
      <w:rFonts w:ascii="仿宋_GB2312" w:hAnsi="宋体" w:eastAsia="仿宋_GB2312" w:cs="宋体"/>
      <w:kern w:val="0"/>
      <w:sz w:val="24"/>
      <w:szCs w:val="24"/>
    </w:rPr>
  </w:style>
  <w:style w:type="paragraph" w:customStyle="1" w:styleId="468">
    <w:name w:val="样式 样式 样式 标题 3 + 段前: 0.5 行 段后: 0.5 行 + 段前: 0.5 行 段后: 0.5 行 +"/>
    <w:basedOn w:val="469"/>
    <w:uiPriority w:val="0"/>
    <w:pPr>
      <w:tabs>
        <w:tab w:val="left" w:pos="425"/>
      </w:tabs>
      <w:spacing w:before="0" w:after="0"/>
    </w:pPr>
  </w:style>
  <w:style w:type="paragraph" w:customStyle="1" w:styleId="469">
    <w:name w:val="样式 样式 标题 3 + 段前: 0.5 行 段后: 0.5 行 + 段前: 0.5 行 段后: 0.5 行"/>
    <w:basedOn w:val="470"/>
    <w:qFormat/>
    <w:uiPriority w:val="0"/>
    <w:pPr>
      <w:tabs>
        <w:tab w:val="left" w:pos="425"/>
      </w:tabs>
      <w:spacing w:after="120"/>
      <w:ind w:left="1260" w:hanging="720"/>
    </w:pPr>
  </w:style>
  <w:style w:type="paragraph" w:customStyle="1" w:styleId="470">
    <w:name w:val="样式 标题 3 + 段前: 0.5 行 段后: 0.5 行"/>
    <w:basedOn w:val="4"/>
    <w:next w:val="420"/>
    <w:qFormat/>
    <w:uiPriority w:val="0"/>
    <w:pPr>
      <w:widowControl w:val="0"/>
      <w:tabs>
        <w:tab w:val="left" w:pos="425"/>
      </w:tabs>
      <w:spacing w:before="120" w:after="0" w:line="360" w:lineRule="auto"/>
      <w:ind w:left="539"/>
      <w:jc w:val="left"/>
    </w:pPr>
    <w:rPr>
      <w:rFonts w:cs="宋体"/>
      <w:sz w:val="30"/>
      <w:szCs w:val="20"/>
    </w:rPr>
  </w:style>
  <w:style w:type="paragraph" w:customStyle="1" w:styleId="471">
    <w:name w:val="p19"/>
    <w:basedOn w:val="1"/>
    <w:uiPriority w:val="0"/>
    <w:pPr>
      <w:spacing w:before="120" w:after="120" w:line="360" w:lineRule="auto"/>
      <w:ind w:firstLine="420"/>
    </w:pPr>
    <w:rPr>
      <w:kern w:val="0"/>
      <w:sz w:val="28"/>
      <w:szCs w:val="28"/>
    </w:rPr>
  </w:style>
  <w:style w:type="paragraph" w:customStyle="1" w:styleId="472">
    <w:name w:val="tableheading"/>
    <w:basedOn w:val="1"/>
    <w:uiPriority w:val="0"/>
    <w:pPr>
      <w:spacing w:before="100" w:beforeAutospacing="1" w:after="100" w:afterAutospacing="1"/>
      <w:jc w:val="left"/>
    </w:pPr>
    <w:rPr>
      <w:rFonts w:ascii="宋体" w:hAnsi="宋体" w:eastAsia="仿宋_GB2312" w:cs="宋体"/>
      <w:kern w:val="0"/>
      <w:sz w:val="24"/>
      <w:szCs w:val="24"/>
    </w:rPr>
  </w:style>
  <w:style w:type="paragraph" w:customStyle="1" w:styleId="473">
    <w:name w:val="样式 编号Alt+Ctrl+B + 段后: 0.5 行"/>
    <w:basedOn w:val="1"/>
    <w:uiPriority w:val="0"/>
    <w:pPr>
      <w:widowControl w:val="0"/>
      <w:tabs>
        <w:tab w:val="left" w:pos="432"/>
      </w:tabs>
      <w:spacing w:afterLines="50" w:line="360" w:lineRule="auto"/>
      <w:ind w:left="432" w:hanging="432"/>
    </w:pPr>
    <w:rPr>
      <w:rFonts w:eastAsia="仿宋_GB2312" w:cs="宋体"/>
      <w:sz w:val="24"/>
    </w:rPr>
  </w:style>
  <w:style w:type="paragraph" w:customStyle="1" w:styleId="474">
    <w:name w:val="Char Char Char Char Char Char Char3"/>
    <w:basedOn w:val="1"/>
    <w:uiPriority w:val="0"/>
    <w:pPr>
      <w:widowControl w:val="0"/>
      <w:spacing w:line="360" w:lineRule="auto"/>
      <w:ind w:firstLine="200" w:firstLineChars="200"/>
    </w:pPr>
    <w:rPr>
      <w:rFonts w:ascii="宋体" w:hAnsi="宋体" w:eastAsia="仿宋_GB2312" w:cs="宋体"/>
      <w:sz w:val="24"/>
      <w:szCs w:val="24"/>
    </w:rPr>
  </w:style>
  <w:style w:type="paragraph" w:customStyle="1" w:styleId="475">
    <w:name w:val="样式 标题 3H3条标题1.1.1 + 小四 非加粗 段前: 0 磅 段后: 0 磅 行距: 1.5 倍行距"/>
    <w:basedOn w:val="4"/>
    <w:uiPriority w:val="0"/>
    <w:pPr>
      <w:widowControl w:val="0"/>
      <w:autoSpaceDE w:val="0"/>
      <w:autoSpaceDN w:val="0"/>
      <w:adjustRightInd w:val="0"/>
      <w:spacing w:before="60" w:after="60" w:line="480" w:lineRule="atLeast"/>
    </w:pPr>
    <w:rPr>
      <w:rFonts w:eastAsia="黑体" w:cs="宋体"/>
      <w:b w:val="0"/>
      <w:bCs w:val="0"/>
      <w:sz w:val="24"/>
      <w:szCs w:val="20"/>
    </w:rPr>
  </w:style>
  <w:style w:type="paragraph" w:customStyle="1" w:styleId="476">
    <w:name w:val="样式 样式 标题 1 + 小二 + 首行缩进:  8.45 字符"/>
    <w:basedOn w:val="445"/>
    <w:uiPriority w:val="0"/>
    <w:pPr>
      <w:spacing w:before="100" w:beforeAutospacing="1" w:after="100" w:afterAutospacing="1" w:line="480" w:lineRule="auto"/>
    </w:pPr>
  </w:style>
  <w:style w:type="paragraph" w:customStyle="1" w:styleId="477">
    <w:name w:val="！项目符号1级"/>
    <w:basedOn w:val="1"/>
    <w:uiPriority w:val="0"/>
    <w:pPr>
      <w:widowControl w:val="0"/>
      <w:spacing w:beforeLines="50" w:afterLines="50"/>
      <w:ind w:left="397"/>
    </w:pPr>
    <w:rPr>
      <w:rFonts w:eastAsia="仿宋_GB2312" w:cs="宋体"/>
      <w:sz w:val="24"/>
      <w:szCs w:val="21"/>
    </w:rPr>
  </w:style>
  <w:style w:type="paragraph" w:customStyle="1" w:styleId="478">
    <w:name w:val="条(附A2）"/>
    <w:basedOn w:val="1"/>
    <w:uiPriority w:val="0"/>
    <w:pPr>
      <w:keepNext/>
      <w:keepLines/>
      <w:widowControl w:val="0"/>
      <w:tabs>
        <w:tab w:val="left" w:pos="360"/>
      </w:tabs>
      <w:adjustRightInd w:val="0"/>
      <w:snapToGrid w:val="0"/>
      <w:spacing w:beforeLines="30" w:afterLines="30" w:line="440" w:lineRule="exact"/>
      <w:jc w:val="left"/>
      <w:textAlignment w:val="baseline"/>
      <w:outlineLvl w:val="2"/>
    </w:pPr>
    <w:rPr>
      <w:rFonts w:ascii="黑体" w:hAnsi="宋体" w:eastAsia="黑体"/>
      <w:bCs/>
      <w:sz w:val="24"/>
    </w:rPr>
  </w:style>
  <w:style w:type="paragraph" w:customStyle="1" w:styleId="479">
    <w:name w:val="样式 正文1 + 首行缩进:  2 字符1"/>
    <w:basedOn w:val="99"/>
    <w:uiPriority w:val="0"/>
    <w:pPr>
      <w:tabs>
        <w:tab w:val="clear" w:pos="2160"/>
      </w:tabs>
      <w:snapToGrid w:val="0"/>
      <w:spacing w:line="360" w:lineRule="auto"/>
      <w:ind w:firstLine="200" w:firstLineChars="200"/>
      <w:jc w:val="both"/>
      <w:textAlignment w:val="auto"/>
    </w:pPr>
    <w:rPr>
      <w:rFonts w:ascii="Times New Roman" w:eastAsia="宋体" w:cs="宋体"/>
      <w:kern w:val="2"/>
      <w:sz w:val="24"/>
    </w:rPr>
  </w:style>
  <w:style w:type="paragraph" w:customStyle="1" w:styleId="480">
    <w:name w:val="Char Char Char Char1 Char Char Char Char Char Char Char Char Char Char Char Char Char Char Char Char Char Char Char Char Char Char Char Char Char Char1 Char Char Char Char Char Char Char Char Char Char Char Char Char Char3"/>
    <w:basedOn w:val="1"/>
    <w:uiPriority w:val="0"/>
    <w:pPr>
      <w:keepNext/>
      <w:keepLines/>
      <w:widowControl w:val="0"/>
      <w:tabs>
        <w:tab w:val="left" w:pos="856"/>
      </w:tabs>
      <w:ind w:left="856" w:hanging="432" w:firstLineChars="200"/>
    </w:pPr>
    <w:rPr>
      <w:rFonts w:ascii="Tahoma" w:hAnsi="Tahoma" w:eastAsia="仿宋_GB2312"/>
      <w:sz w:val="24"/>
      <w:szCs w:val="28"/>
    </w:rPr>
  </w:style>
  <w:style w:type="paragraph" w:customStyle="1" w:styleId="481">
    <w:name w:val="正文标3"/>
    <w:basedOn w:val="4"/>
    <w:next w:val="1"/>
    <w:uiPriority w:val="0"/>
    <w:pPr>
      <w:widowControl w:val="0"/>
      <w:spacing w:before="0" w:after="0" w:line="500" w:lineRule="exact"/>
    </w:pPr>
    <w:rPr>
      <w:b w:val="0"/>
      <w:sz w:val="28"/>
    </w:rPr>
  </w:style>
  <w:style w:type="paragraph" w:customStyle="1" w:styleId="482">
    <w:name w:val="图表标题"/>
    <w:basedOn w:val="1"/>
    <w:uiPriority w:val="0"/>
    <w:pPr>
      <w:widowControl w:val="0"/>
      <w:spacing w:line="360" w:lineRule="exact"/>
      <w:jc w:val="center"/>
    </w:pPr>
    <w:rPr>
      <w:rFonts w:ascii="宋体" w:hAnsi="宋体" w:eastAsia="仿宋_GB2312"/>
      <w:b/>
      <w:bCs/>
      <w:color w:val="000000"/>
      <w:sz w:val="24"/>
      <w:szCs w:val="24"/>
    </w:rPr>
  </w:style>
  <w:style w:type="paragraph" w:customStyle="1" w:styleId="483">
    <w:name w:val="xl8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2"/>
      <w:szCs w:val="22"/>
    </w:rPr>
  </w:style>
  <w:style w:type="paragraph" w:customStyle="1" w:styleId="484">
    <w:name w:val="表头文字(W)"/>
    <w:basedOn w:val="1"/>
    <w:uiPriority w:val="0"/>
    <w:pPr>
      <w:topLinePunct/>
      <w:adjustRightInd w:val="0"/>
      <w:snapToGrid w:val="0"/>
      <w:spacing w:line="360" w:lineRule="auto"/>
      <w:ind w:firstLine="200" w:firstLineChars="200"/>
      <w:jc w:val="center"/>
    </w:pPr>
    <w:rPr>
      <w:rFonts w:ascii="黑体" w:eastAsia="黑体"/>
      <w:kern w:val="0"/>
    </w:rPr>
  </w:style>
  <w:style w:type="paragraph" w:customStyle="1" w:styleId="485">
    <w:name w:val="et24"/>
    <w:basedOn w:val="1"/>
    <w:qFormat/>
    <w:uiPriority w:val="0"/>
    <w:pPr>
      <w:pBdr>
        <w:top w:val="single" w:color="000000" w:sz="4" w:space="0"/>
        <w:left w:val="single" w:color="000000" w:sz="4" w:space="0"/>
        <w:bottom w:val="single" w:color="000000" w:sz="4" w:space="0"/>
        <w:right w:val="single" w:color="000000" w:sz="12" w:space="0"/>
      </w:pBdr>
      <w:spacing w:before="100" w:beforeAutospacing="1" w:after="100" w:afterAutospacing="1"/>
      <w:jc w:val="right"/>
      <w:textAlignment w:val="center"/>
    </w:pPr>
    <w:rPr>
      <w:rFonts w:ascii="宋体" w:hAnsi="宋体" w:cs="宋体"/>
      <w:b/>
      <w:bCs/>
      <w:color w:val="000000"/>
      <w:kern w:val="0"/>
      <w:sz w:val="20"/>
    </w:rPr>
  </w:style>
  <w:style w:type="paragraph" w:customStyle="1" w:styleId="486">
    <w:name w:val="页眉11"/>
    <w:basedOn w:val="1"/>
    <w:qFormat/>
    <w:uiPriority w:val="0"/>
    <w:pPr>
      <w:spacing w:before="100" w:beforeAutospacing="1" w:after="100" w:afterAutospacing="1" w:line="400" w:lineRule="atLeast"/>
      <w:jc w:val="left"/>
    </w:pPr>
    <w:rPr>
      <w:rFonts w:ascii="ˎ̥" w:hAnsi="ˎ̥" w:eastAsia="仿宋_GB2312" w:cs="宋体"/>
      <w:b/>
      <w:bCs/>
      <w:color w:val="4B9BE7"/>
      <w:kern w:val="0"/>
      <w:sz w:val="24"/>
      <w:szCs w:val="21"/>
    </w:rPr>
  </w:style>
  <w:style w:type="paragraph" w:customStyle="1" w:styleId="487">
    <w:name w:val="样式 正文1 + 左侧:  1 字符3"/>
    <w:basedOn w:val="99"/>
    <w:qFormat/>
    <w:uiPriority w:val="0"/>
    <w:pPr>
      <w:keepNext/>
      <w:keepLines/>
      <w:tabs>
        <w:tab w:val="clear" w:pos="2160"/>
      </w:tabs>
      <w:adjustRightInd/>
      <w:spacing w:line="360" w:lineRule="auto"/>
      <w:ind w:firstLine="560" w:firstLineChars="200"/>
      <w:jc w:val="both"/>
      <w:textAlignment w:val="auto"/>
    </w:pPr>
    <w:rPr>
      <w:rFonts w:ascii="Times New Roman" w:eastAsia="宋体" w:cs="宋体"/>
      <w:kern w:val="2"/>
      <w:sz w:val="24"/>
    </w:rPr>
  </w:style>
  <w:style w:type="paragraph" w:customStyle="1" w:styleId="488">
    <w:name w:val="封皮3"/>
    <w:basedOn w:val="1"/>
    <w:qFormat/>
    <w:uiPriority w:val="0"/>
    <w:pPr>
      <w:widowControl w:val="0"/>
      <w:jc w:val="center"/>
    </w:pPr>
    <w:rPr>
      <w:rFonts w:eastAsia="华文彩云"/>
      <w:sz w:val="28"/>
      <w:szCs w:val="24"/>
    </w:rPr>
  </w:style>
  <w:style w:type="paragraph" w:customStyle="1" w:styleId="489">
    <w:name w:val="xl5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kern w:val="0"/>
      <w:szCs w:val="21"/>
    </w:rPr>
  </w:style>
  <w:style w:type="paragraph" w:customStyle="1" w:styleId="490">
    <w:name w:val="表格（新小四号字）"/>
    <w:basedOn w:val="1"/>
    <w:qFormat/>
    <w:uiPriority w:val="0"/>
    <w:pPr>
      <w:keepNext/>
      <w:widowControl w:val="0"/>
      <w:adjustRightInd w:val="0"/>
      <w:jc w:val="center"/>
      <w:textAlignment w:val="baseline"/>
    </w:pPr>
    <w:rPr>
      <w:rFonts w:ascii="宋体" w:hAnsi="宋体" w:eastAsia="仿宋_GB2312"/>
      <w:color w:val="FF0000"/>
      <w:spacing w:val="-8"/>
      <w:sz w:val="24"/>
      <w:szCs w:val="24"/>
      <w:lang w:val="zh-CN"/>
    </w:rPr>
  </w:style>
  <w:style w:type="paragraph" w:customStyle="1" w:styleId="491">
    <w:name w:val="三级节"/>
    <w:basedOn w:val="5"/>
    <w:qFormat/>
    <w:uiPriority w:val="0"/>
    <w:pPr>
      <w:widowControl w:val="0"/>
      <w:spacing w:before="120" w:after="120" w:line="240" w:lineRule="auto"/>
    </w:pPr>
    <w:rPr>
      <w:rFonts w:ascii="宋体" w:hAnsi="宋体" w:eastAsia="黑体"/>
      <w:b w:val="0"/>
    </w:rPr>
  </w:style>
  <w:style w:type="paragraph" w:customStyle="1" w:styleId="492">
    <w:name w:val="公式3"/>
    <w:basedOn w:val="279"/>
    <w:qFormat/>
    <w:uiPriority w:val="0"/>
    <w:pPr>
      <w:ind w:firstLine="0" w:firstLineChars="0"/>
      <w:jc w:val="center"/>
    </w:pPr>
    <w:rPr>
      <w:szCs w:val="20"/>
    </w:rPr>
  </w:style>
  <w:style w:type="paragraph" w:customStyle="1" w:styleId="493">
    <w:name w:val="xl9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仿宋_GB2312" w:cs="宋体"/>
      <w:color w:val="FF0000"/>
      <w:kern w:val="0"/>
      <w:sz w:val="20"/>
    </w:rPr>
  </w:style>
  <w:style w:type="paragraph" w:customStyle="1" w:styleId="494">
    <w:name w:val="xl8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rPr>
  </w:style>
  <w:style w:type="paragraph" w:customStyle="1" w:styleId="495">
    <w:name w:val="样式 表格（小四号字） + 首行缩进:  0.79 厘米"/>
    <w:basedOn w:val="1"/>
    <w:qFormat/>
    <w:uiPriority w:val="0"/>
    <w:pPr>
      <w:widowControl w:val="0"/>
      <w:adjustRightInd w:val="0"/>
      <w:jc w:val="center"/>
      <w:textAlignment w:val="baseline"/>
    </w:pPr>
    <w:rPr>
      <w:rFonts w:ascii="宋体" w:eastAsia="仿宋_GB2312"/>
      <w:spacing w:val="-8"/>
      <w:kern w:val="0"/>
      <w:sz w:val="24"/>
      <w:lang w:val="en-GB"/>
    </w:rPr>
  </w:style>
  <w:style w:type="paragraph" w:customStyle="1" w:styleId="496">
    <w:name w:val="xl7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rPr>
  </w:style>
  <w:style w:type="paragraph" w:customStyle="1" w:styleId="497">
    <w:name w:val="项目"/>
    <w:basedOn w:val="16"/>
    <w:qFormat/>
    <w:uiPriority w:val="0"/>
    <w:pPr>
      <w:widowControl/>
      <w:numPr>
        <w:numId w:val="0"/>
      </w:numPr>
      <w:tabs>
        <w:tab w:val="left" w:pos="1500"/>
      </w:tabs>
      <w:snapToGrid w:val="0"/>
      <w:spacing w:before="120" w:afterLines="50" w:line="360" w:lineRule="auto"/>
      <w:jc w:val="both"/>
      <w:textAlignment w:val="auto"/>
    </w:pPr>
    <w:rPr>
      <w:rFonts w:hAnsi="宋体" w:eastAsia="仿宋_GB2312"/>
      <w:bCs/>
      <w:kern w:val="2"/>
      <w:sz w:val="24"/>
    </w:rPr>
  </w:style>
  <w:style w:type="paragraph" w:customStyle="1" w:styleId="498">
    <w:name w:val="Char Char Char Char Char Char Char Char Char Char Char Char Char Char Char"/>
    <w:basedOn w:val="1"/>
    <w:qFormat/>
    <w:uiPriority w:val="0"/>
    <w:pPr>
      <w:widowControl w:val="0"/>
    </w:pPr>
    <w:rPr>
      <w:rFonts w:ascii="宋体" w:hAnsi="宋体" w:eastAsia="仿宋_GB2312" w:cs="Courier New"/>
      <w:sz w:val="32"/>
      <w:szCs w:val="32"/>
    </w:rPr>
  </w:style>
  <w:style w:type="paragraph" w:customStyle="1" w:styleId="499">
    <w:name w:val="样式 题注 + 居中 首行缩进:  2 字符"/>
    <w:basedOn w:val="17"/>
    <w:qFormat/>
    <w:uiPriority w:val="0"/>
    <w:pPr>
      <w:tabs>
        <w:tab w:val="right" w:pos="9500"/>
      </w:tabs>
      <w:spacing w:before="240" w:after="240"/>
    </w:pPr>
    <w:rPr>
      <w:rFonts w:ascii="Arial" w:hAnsi="Arial"/>
      <w:bCs/>
      <w:kern w:val="0"/>
      <w:lang w:val="zh-CN"/>
    </w:rPr>
  </w:style>
  <w:style w:type="paragraph" w:customStyle="1" w:styleId="500">
    <w:name w:val="列出段落2"/>
    <w:basedOn w:val="1"/>
    <w:qFormat/>
    <w:uiPriority w:val="0"/>
    <w:pPr>
      <w:widowControl w:val="0"/>
      <w:ind w:firstLine="420" w:firstLineChars="200"/>
    </w:pPr>
    <w:rPr>
      <w:rFonts w:ascii="Calibri" w:hAnsi="Calibri" w:eastAsia="仿宋_GB2312"/>
      <w:sz w:val="24"/>
      <w:szCs w:val="22"/>
    </w:rPr>
  </w:style>
  <w:style w:type="paragraph" w:customStyle="1" w:styleId="501">
    <w:name w:val="xl62"/>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502">
    <w:name w:val="图文(小四右)"/>
    <w:basedOn w:val="1"/>
    <w:qFormat/>
    <w:uiPriority w:val="0"/>
    <w:pPr>
      <w:widowControl w:val="0"/>
      <w:tabs>
        <w:tab w:val="left" w:pos="2722"/>
      </w:tabs>
      <w:jc w:val="right"/>
    </w:pPr>
    <w:rPr>
      <w:rFonts w:eastAsia="仿宋_GB2312"/>
      <w:sz w:val="24"/>
      <w:szCs w:val="24"/>
    </w:rPr>
  </w:style>
  <w:style w:type="paragraph" w:customStyle="1" w:styleId="503">
    <w:name w:val="表题注1"/>
    <w:basedOn w:val="17"/>
    <w:qFormat/>
    <w:uiPriority w:val="0"/>
    <w:pPr>
      <w:spacing w:before="120" w:after="60" w:line="300" w:lineRule="auto"/>
    </w:pPr>
    <w:rPr>
      <w:rFonts w:ascii="Arial" w:hAnsi="Arial"/>
    </w:rPr>
  </w:style>
  <w:style w:type="paragraph" w:customStyle="1" w:styleId="504">
    <w:name w:val="7"/>
    <w:qFormat/>
    <w:uiPriority w:val="0"/>
    <w:pPr>
      <w:widowControl w:val="0"/>
      <w:jc w:val="both"/>
    </w:pPr>
    <w:rPr>
      <w:rFonts w:ascii="Times New Roman" w:hAnsi="Times New Roman" w:eastAsia="仿宋_GB2312" w:cs="Times New Roman"/>
      <w:kern w:val="2"/>
      <w:sz w:val="24"/>
      <w:szCs w:val="24"/>
      <w:lang w:val="en-US" w:eastAsia="zh-CN" w:bidi="ar-SA"/>
    </w:rPr>
  </w:style>
  <w:style w:type="paragraph" w:customStyle="1" w:styleId="505">
    <w:name w:val="Char Char Char Char4"/>
    <w:basedOn w:val="1"/>
    <w:qFormat/>
    <w:uiPriority w:val="0"/>
    <w:pPr>
      <w:spacing w:line="240" w:lineRule="exact"/>
      <w:ind w:firstLine="200" w:firstLineChars="200"/>
      <w:jc w:val="left"/>
    </w:pPr>
    <w:rPr>
      <w:rFonts w:ascii="Verdana" w:hAnsi="Verdana" w:eastAsia="仿宋_GB2312"/>
      <w:kern w:val="0"/>
      <w:sz w:val="20"/>
      <w:lang w:eastAsia="en-US"/>
    </w:rPr>
  </w:style>
  <w:style w:type="paragraph" w:customStyle="1" w:styleId="506">
    <w:name w:val="样式 标题 1H1SAHeading 1Head 1Head 11Head 12Head 111Head 13H...2"/>
    <w:basedOn w:val="2"/>
    <w:qFormat/>
    <w:uiPriority w:val="0"/>
    <w:pPr>
      <w:pageBreakBefore/>
      <w:widowControl w:val="0"/>
      <w:tabs>
        <w:tab w:val="left" w:pos="425"/>
      </w:tabs>
      <w:autoSpaceDE w:val="0"/>
      <w:autoSpaceDN w:val="0"/>
      <w:spacing w:line="578" w:lineRule="auto"/>
      <w:ind w:left="425" w:hanging="425"/>
    </w:pPr>
    <w:rPr>
      <w:rFonts w:ascii="Calibri" w:hAnsi="Calibri"/>
      <w:kern w:val="2"/>
      <w:sz w:val="32"/>
      <w:szCs w:val="24"/>
    </w:rPr>
  </w:style>
  <w:style w:type="paragraph" w:customStyle="1" w:styleId="507">
    <w:name w:val="et31"/>
    <w:basedOn w:val="1"/>
    <w:qFormat/>
    <w:uiPriority w:val="0"/>
    <w:pPr>
      <w:pBdr>
        <w:top w:val="single" w:color="000000" w:sz="4" w:space="0"/>
        <w:left w:val="single" w:color="000000" w:sz="12" w:space="0"/>
        <w:bottom w:val="single" w:color="000000" w:sz="4" w:space="0"/>
        <w:right w:val="single" w:color="000000" w:sz="4" w:space="0"/>
      </w:pBdr>
      <w:spacing w:before="100" w:beforeAutospacing="1" w:after="100" w:afterAutospacing="1"/>
      <w:jc w:val="center"/>
      <w:textAlignment w:val="center"/>
    </w:pPr>
    <w:rPr>
      <w:rFonts w:ascii="宋体" w:hAnsi="宋体" w:cs="宋体"/>
      <w:b/>
      <w:bCs/>
      <w:color w:val="000000"/>
      <w:kern w:val="0"/>
      <w:sz w:val="22"/>
      <w:szCs w:val="22"/>
    </w:rPr>
  </w:style>
  <w:style w:type="paragraph" w:customStyle="1" w:styleId="508">
    <w:name w:val="xl27"/>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hint="eastAsia" w:ascii="黑体" w:hAnsi="Arial Unicode MS" w:eastAsia="黑体" w:cs="Arial Unicode MS"/>
      <w:kern w:val="0"/>
      <w:sz w:val="20"/>
    </w:rPr>
  </w:style>
  <w:style w:type="paragraph" w:customStyle="1" w:styleId="509">
    <w:name w:val="et15"/>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b/>
      <w:bCs/>
      <w:color w:val="000000"/>
      <w:kern w:val="0"/>
      <w:sz w:val="20"/>
    </w:rPr>
  </w:style>
  <w:style w:type="paragraph" w:customStyle="1" w:styleId="510">
    <w:name w:val="xl10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b/>
      <w:bCs/>
      <w:kern w:val="0"/>
      <w:sz w:val="28"/>
      <w:szCs w:val="28"/>
    </w:rPr>
  </w:style>
  <w:style w:type="paragraph" w:customStyle="1" w:styleId="511">
    <w:name w:val="列表2"/>
    <w:basedOn w:val="6"/>
    <w:qFormat/>
    <w:uiPriority w:val="99"/>
    <w:pPr>
      <w:keepNext w:val="0"/>
      <w:keepLines w:val="0"/>
      <w:widowControl/>
      <w:tabs>
        <w:tab w:val="left" w:pos="1800"/>
      </w:tabs>
      <w:spacing w:before="60" w:after="60" w:line="240" w:lineRule="auto"/>
      <w:ind w:left="0" w:firstLine="0"/>
      <w:jc w:val="left"/>
      <w:outlineLvl w:val="9"/>
    </w:pPr>
    <w:rPr>
      <w:rFonts w:eastAsia="仿宋_GB2312"/>
      <w:color w:val="005B88"/>
      <w:sz w:val="21"/>
      <w:szCs w:val="20"/>
    </w:rPr>
  </w:style>
  <w:style w:type="paragraph" w:customStyle="1" w:styleId="512">
    <w:name w:val="xl12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Cs w:val="21"/>
    </w:rPr>
  </w:style>
  <w:style w:type="paragraph" w:customStyle="1" w:styleId="513">
    <w:name w:val="xl35"/>
    <w:basedOn w:val="1"/>
    <w:qFormat/>
    <w:uiPriority w:val="0"/>
    <w:pPr>
      <w:pBdr>
        <w:left w:val="single" w:color="auto" w:sz="4" w:space="0"/>
        <w:right w:val="single" w:color="auto" w:sz="4" w:space="0"/>
      </w:pBdr>
      <w:spacing w:before="100" w:beforeAutospacing="1" w:after="100" w:afterAutospacing="1"/>
      <w:jc w:val="left"/>
    </w:pPr>
    <w:rPr>
      <w:rFonts w:ascii="宋体" w:hAnsi="宋体" w:eastAsia="仿宋_GB2312" w:cs="宋体"/>
      <w:kern w:val="0"/>
      <w:sz w:val="24"/>
      <w:szCs w:val="24"/>
    </w:rPr>
  </w:style>
  <w:style w:type="paragraph" w:customStyle="1" w:styleId="514">
    <w:name w:val="et9"/>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right"/>
      <w:textAlignment w:val="center"/>
    </w:pPr>
    <w:rPr>
      <w:rFonts w:ascii="宋体" w:hAnsi="宋体" w:cs="宋体"/>
      <w:b/>
      <w:bCs/>
      <w:color w:val="000000"/>
      <w:kern w:val="0"/>
      <w:sz w:val="20"/>
    </w:rPr>
  </w:style>
  <w:style w:type="paragraph" w:customStyle="1" w:styleId="515">
    <w:name w:val="样式 标题 1H1SAHeading 1Head 1Head 11Head 12Head 111Head 13H...1"/>
    <w:basedOn w:val="2"/>
    <w:qFormat/>
    <w:uiPriority w:val="0"/>
    <w:pPr>
      <w:pageBreakBefore/>
      <w:tabs>
        <w:tab w:val="left" w:pos="432"/>
        <w:tab w:val="left" w:pos="3141"/>
      </w:tabs>
      <w:spacing w:line="578" w:lineRule="auto"/>
      <w:ind w:left="2133"/>
      <w:jc w:val="left"/>
    </w:pPr>
    <w:rPr>
      <w:rFonts w:ascii="宋体" w:hAnsi="宋体"/>
      <w:bCs/>
      <w:kern w:val="2"/>
      <w:sz w:val="28"/>
      <w:szCs w:val="24"/>
      <w:lang w:eastAsia="en-US" w:bidi="en-US"/>
    </w:rPr>
  </w:style>
  <w:style w:type="paragraph" w:customStyle="1" w:styleId="516">
    <w:name w:val="1 Char"/>
    <w:basedOn w:val="1"/>
    <w:qFormat/>
    <w:uiPriority w:val="0"/>
    <w:pPr>
      <w:spacing w:after="160" w:line="240" w:lineRule="exact"/>
      <w:jc w:val="left"/>
    </w:pPr>
    <w:rPr>
      <w:rFonts w:ascii="Tahoma" w:hAnsi="Tahoma" w:eastAsia="Times New Roman"/>
      <w:kern w:val="0"/>
      <w:sz w:val="24"/>
      <w:szCs w:val="24"/>
      <w:lang w:eastAsia="en-US"/>
    </w:rPr>
  </w:style>
  <w:style w:type="paragraph" w:customStyle="1" w:styleId="51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rPr>
  </w:style>
  <w:style w:type="paragraph" w:customStyle="1" w:styleId="518">
    <w:name w:val="xl3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仿宋_GB2312" w:cs="宋体"/>
      <w:kern w:val="0"/>
      <w:sz w:val="24"/>
      <w:szCs w:val="24"/>
    </w:rPr>
  </w:style>
  <w:style w:type="paragraph" w:customStyle="1" w:styleId="519">
    <w:name w:val="11 BodyText"/>
    <w:basedOn w:val="1"/>
    <w:qFormat/>
    <w:uiPriority w:val="0"/>
    <w:pPr>
      <w:tabs>
        <w:tab w:val="left" w:pos="1800"/>
      </w:tabs>
      <w:spacing w:after="220"/>
      <w:ind w:left="1298"/>
      <w:jc w:val="left"/>
    </w:pPr>
    <w:rPr>
      <w:rFonts w:ascii="Arial" w:hAnsi="Arial" w:eastAsia="仿宋_GB2312"/>
      <w:kern w:val="0"/>
      <w:sz w:val="22"/>
    </w:rPr>
  </w:style>
  <w:style w:type="paragraph" w:customStyle="1" w:styleId="520">
    <w:name w:val="xl5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Cs w:val="21"/>
    </w:rPr>
  </w:style>
  <w:style w:type="paragraph" w:customStyle="1" w:styleId="521">
    <w:name w:val="样式 正文1 + 左侧:  1 字符"/>
    <w:basedOn w:val="99"/>
    <w:qFormat/>
    <w:uiPriority w:val="0"/>
    <w:pPr>
      <w:keepNext/>
      <w:keepLines/>
      <w:tabs>
        <w:tab w:val="clear" w:pos="2160"/>
      </w:tabs>
      <w:adjustRightInd/>
      <w:spacing w:line="360" w:lineRule="auto"/>
      <w:ind w:firstLine="560" w:firstLineChars="200"/>
      <w:jc w:val="both"/>
      <w:textAlignment w:val="auto"/>
    </w:pPr>
    <w:rPr>
      <w:rFonts w:ascii="Times New Roman" w:eastAsia="宋体" w:cs="宋体"/>
      <w:kern w:val="2"/>
      <w:sz w:val="24"/>
    </w:rPr>
  </w:style>
  <w:style w:type="paragraph" w:customStyle="1" w:styleId="522">
    <w:name w:val="表内"/>
    <w:qFormat/>
    <w:uiPriority w:val="0"/>
    <w:pPr>
      <w:spacing w:line="320" w:lineRule="exact"/>
      <w:jc w:val="center"/>
    </w:pPr>
    <w:rPr>
      <w:rFonts w:ascii="宋体" w:hAnsi="宋体" w:eastAsia="宋体" w:cs="Times New Roman"/>
      <w:sz w:val="21"/>
      <w:szCs w:val="21"/>
      <w:lang w:val="en-US" w:eastAsia="zh-CN" w:bidi="ar-SA"/>
    </w:rPr>
  </w:style>
  <w:style w:type="paragraph" w:customStyle="1" w:styleId="523">
    <w:name w:val="B中文表"/>
    <w:basedOn w:val="1"/>
    <w:qFormat/>
    <w:uiPriority w:val="0"/>
    <w:pPr>
      <w:widowControl w:val="0"/>
      <w:spacing w:line="360" w:lineRule="exact"/>
      <w:ind w:firstLine="360" w:firstLineChars="200"/>
      <w:jc w:val="center"/>
    </w:pPr>
    <w:rPr>
      <w:rFonts w:eastAsia="黑体"/>
      <w:bCs/>
      <w:sz w:val="18"/>
      <w:szCs w:val="24"/>
    </w:rPr>
  </w:style>
  <w:style w:type="paragraph" w:customStyle="1" w:styleId="524">
    <w:name w:val="xl7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rPr>
  </w:style>
  <w:style w:type="paragraph" w:customStyle="1" w:styleId="525">
    <w:name w:val="xl123"/>
    <w:basedOn w:val="1"/>
    <w:qFormat/>
    <w:uiPriority w:val="0"/>
    <w:pPr>
      <w:spacing w:before="100" w:beforeAutospacing="1" w:after="100" w:afterAutospacing="1"/>
      <w:jc w:val="center"/>
    </w:pPr>
    <w:rPr>
      <w:b/>
      <w:bCs/>
      <w:kern w:val="0"/>
      <w:sz w:val="28"/>
      <w:szCs w:val="28"/>
    </w:rPr>
  </w:style>
  <w:style w:type="paragraph" w:customStyle="1" w:styleId="526">
    <w:name w:val="xl7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b/>
      <w:bCs/>
      <w:kern w:val="0"/>
      <w:sz w:val="20"/>
    </w:rPr>
  </w:style>
  <w:style w:type="paragraph" w:customStyle="1" w:styleId="527">
    <w:name w:val="xl4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仿宋_GB2312"/>
      <w:kern w:val="0"/>
      <w:sz w:val="16"/>
      <w:szCs w:val="16"/>
    </w:rPr>
  </w:style>
  <w:style w:type="paragraph" w:customStyle="1" w:styleId="528">
    <w:name w:val="pic"/>
    <w:basedOn w:val="1"/>
    <w:qFormat/>
    <w:uiPriority w:val="0"/>
    <w:pPr>
      <w:widowControl w:val="0"/>
      <w:spacing w:afterLines="50"/>
      <w:jc w:val="center"/>
    </w:pPr>
    <w:rPr>
      <w:rFonts w:eastAsia="黑体"/>
      <w:b/>
      <w:sz w:val="24"/>
      <w:szCs w:val="24"/>
    </w:rPr>
  </w:style>
  <w:style w:type="paragraph" w:customStyle="1" w:styleId="529">
    <w:name w:val="正文(表)"/>
    <w:basedOn w:val="1"/>
    <w:qFormat/>
    <w:uiPriority w:val="0"/>
    <w:pPr>
      <w:widowControl w:val="0"/>
      <w:spacing w:line="300" w:lineRule="exact"/>
      <w:jc w:val="center"/>
    </w:pPr>
    <w:rPr>
      <w:rFonts w:eastAsia="仿宋_GB2312"/>
      <w:sz w:val="18"/>
      <w:szCs w:val="21"/>
    </w:rPr>
  </w:style>
  <w:style w:type="paragraph" w:customStyle="1" w:styleId="530">
    <w:name w:val="正文仿宋4"/>
    <w:basedOn w:val="1"/>
    <w:qFormat/>
    <w:uiPriority w:val="0"/>
    <w:pPr>
      <w:widowControl w:val="0"/>
      <w:spacing w:beforeLines="50" w:afterLines="50" w:line="360" w:lineRule="auto"/>
      <w:ind w:firstLine="560" w:firstLineChars="200"/>
    </w:pPr>
    <w:rPr>
      <w:rFonts w:ascii="仿宋_GB2312" w:eastAsia="仿宋_GB2312"/>
      <w:sz w:val="28"/>
      <w:szCs w:val="24"/>
    </w:rPr>
  </w:style>
  <w:style w:type="paragraph" w:customStyle="1" w:styleId="531">
    <w:name w:val="xl10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color w:val="000000"/>
      <w:kern w:val="0"/>
      <w:sz w:val="20"/>
    </w:rPr>
  </w:style>
  <w:style w:type="paragraph" w:customStyle="1" w:styleId="532">
    <w:name w:val="et7"/>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b/>
      <w:bCs/>
      <w:color w:val="000000"/>
      <w:kern w:val="0"/>
      <w:sz w:val="20"/>
    </w:rPr>
  </w:style>
  <w:style w:type="paragraph" w:customStyle="1" w:styleId="533">
    <w:name w:val="et44"/>
    <w:basedOn w:val="1"/>
    <w:qFormat/>
    <w:uiPriority w:val="0"/>
    <w:pPr>
      <w:pBdr>
        <w:top w:val="single" w:color="000000" w:sz="12"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color w:val="000000"/>
      <w:kern w:val="0"/>
      <w:sz w:val="20"/>
    </w:rPr>
  </w:style>
  <w:style w:type="paragraph" w:customStyle="1" w:styleId="534">
    <w:name w:val="样式 paragraph-1 + (西文) Times New Roman (中文) 宋体 小四 首行缩进:  2 字符"/>
    <w:basedOn w:val="141"/>
    <w:qFormat/>
    <w:uiPriority w:val="0"/>
    <w:pPr>
      <w:ind w:firstLine="480"/>
    </w:pPr>
    <w:rPr>
      <w:rFonts w:ascii="Times New Roman" w:hAnsi="Times New Roman" w:cs="宋体"/>
      <w:sz w:val="24"/>
      <w:szCs w:val="20"/>
    </w:rPr>
  </w:style>
  <w:style w:type="paragraph" w:customStyle="1" w:styleId="535">
    <w:name w:val="xl11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 w:hAnsi="仿宋" w:eastAsia="仿宋" w:cs="宋体"/>
      <w:b/>
      <w:bCs/>
      <w:kern w:val="0"/>
      <w:sz w:val="20"/>
    </w:rPr>
  </w:style>
  <w:style w:type="paragraph" w:customStyle="1" w:styleId="536">
    <w:name w:val="样式 小四 首行缩进:  0.74 厘米 行距: 1.5 倍行距"/>
    <w:basedOn w:val="1"/>
    <w:qFormat/>
    <w:uiPriority w:val="0"/>
    <w:pPr>
      <w:widowControl w:val="0"/>
      <w:adjustRightInd w:val="0"/>
      <w:spacing w:line="360" w:lineRule="auto"/>
      <w:ind w:firstLine="420"/>
      <w:textAlignment w:val="baseline"/>
    </w:pPr>
    <w:rPr>
      <w:rFonts w:eastAsia="仿宋_GB2312" w:cs="宋体"/>
      <w:sz w:val="28"/>
      <w:szCs w:val="28"/>
    </w:rPr>
  </w:style>
  <w:style w:type="paragraph" w:customStyle="1" w:styleId="537">
    <w:name w:val="T英文图"/>
    <w:basedOn w:val="1"/>
    <w:qFormat/>
    <w:uiPriority w:val="0"/>
    <w:pPr>
      <w:widowControl w:val="0"/>
      <w:jc w:val="center"/>
    </w:pPr>
    <w:rPr>
      <w:rFonts w:eastAsia="黑体"/>
      <w:b/>
      <w:bCs/>
      <w:sz w:val="18"/>
      <w:szCs w:val="24"/>
    </w:rPr>
  </w:style>
  <w:style w:type="paragraph" w:customStyle="1" w:styleId="538">
    <w:name w:val="xl7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rPr>
  </w:style>
  <w:style w:type="paragraph" w:customStyle="1" w:styleId="539">
    <w:name w:val="xl3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eastAsia="仿宋_GB2312" w:cs="宋体"/>
      <w:b/>
      <w:bCs/>
      <w:kern w:val="0"/>
      <w:sz w:val="16"/>
      <w:szCs w:val="16"/>
    </w:rPr>
  </w:style>
  <w:style w:type="paragraph" w:customStyle="1" w:styleId="540">
    <w:name w:val="xl10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仿宋_GB2312" w:cs="宋体"/>
      <w:b/>
      <w:bCs/>
      <w:kern w:val="0"/>
      <w:sz w:val="20"/>
    </w:rPr>
  </w:style>
  <w:style w:type="paragraph" w:customStyle="1" w:styleId="541">
    <w:name w:val="et23"/>
    <w:basedOn w:val="1"/>
    <w:qFormat/>
    <w:uiPriority w:val="0"/>
    <w:pPr>
      <w:pBdr>
        <w:top w:val="single" w:color="000000" w:sz="4" w:space="0"/>
        <w:left w:val="single" w:color="000000" w:sz="12" w:space="0"/>
        <w:bottom w:val="single" w:color="000000" w:sz="4" w:space="0"/>
        <w:right w:val="single" w:color="000000" w:sz="4" w:space="0"/>
      </w:pBdr>
      <w:spacing w:before="100" w:beforeAutospacing="1" w:after="100" w:afterAutospacing="1"/>
      <w:jc w:val="center"/>
      <w:textAlignment w:val="center"/>
    </w:pPr>
    <w:rPr>
      <w:rFonts w:ascii="宋体" w:hAnsi="宋体" w:cs="宋体"/>
      <w:b/>
      <w:bCs/>
      <w:color w:val="000000"/>
      <w:kern w:val="0"/>
      <w:sz w:val="20"/>
    </w:rPr>
  </w:style>
  <w:style w:type="paragraph" w:customStyle="1" w:styleId="542">
    <w:name w:val="font0"/>
    <w:basedOn w:val="1"/>
    <w:qFormat/>
    <w:uiPriority w:val="0"/>
    <w:pPr>
      <w:spacing w:before="100" w:beforeAutospacing="1" w:after="100" w:afterAutospacing="1"/>
      <w:jc w:val="left"/>
    </w:pPr>
    <w:rPr>
      <w:rFonts w:ascii="宋体" w:hAnsi="宋体" w:cs="宋体"/>
      <w:kern w:val="0"/>
      <w:sz w:val="24"/>
      <w:szCs w:val="24"/>
    </w:rPr>
  </w:style>
  <w:style w:type="paragraph" w:customStyle="1" w:styleId="543">
    <w:name w:val="正文信息样式-首行缩进"/>
    <w:basedOn w:val="1"/>
    <w:qFormat/>
    <w:uiPriority w:val="0"/>
    <w:pPr>
      <w:widowControl w:val="0"/>
      <w:spacing w:line="360" w:lineRule="auto"/>
      <w:ind w:firstLine="200" w:firstLineChars="200"/>
    </w:pPr>
    <w:rPr>
      <w:rFonts w:eastAsia="仿宋_GB2312"/>
      <w:sz w:val="24"/>
      <w:szCs w:val="24"/>
    </w:rPr>
  </w:style>
  <w:style w:type="paragraph" w:customStyle="1" w:styleId="544">
    <w:name w:val="样式 左侧:  0.85 厘米 首行缩进:  0.85 厘米"/>
    <w:basedOn w:val="1"/>
    <w:qFormat/>
    <w:uiPriority w:val="0"/>
    <w:pPr>
      <w:widowControl w:val="0"/>
      <w:tabs>
        <w:tab w:val="left" w:pos="900"/>
      </w:tabs>
      <w:spacing w:line="360" w:lineRule="auto"/>
      <w:ind w:firstLine="200" w:firstLineChars="200"/>
    </w:pPr>
    <w:rPr>
      <w:rFonts w:eastAsia="仿宋_GB2312"/>
      <w:sz w:val="24"/>
    </w:rPr>
  </w:style>
  <w:style w:type="paragraph" w:customStyle="1" w:styleId="545">
    <w:name w:val="et30"/>
    <w:basedOn w:val="1"/>
    <w:qFormat/>
    <w:uiPriority w:val="0"/>
    <w:pPr>
      <w:pBdr>
        <w:top w:val="single" w:color="000000" w:sz="4" w:space="0"/>
        <w:left w:val="single" w:color="000000" w:sz="4" w:space="0"/>
        <w:bottom w:val="single" w:color="000000" w:sz="4" w:space="0"/>
        <w:right w:val="single" w:color="000000" w:sz="4" w:space="0"/>
      </w:pBdr>
      <w:shd w:val="clear" w:color="000000" w:fill="FFCC99"/>
      <w:spacing w:before="100" w:beforeAutospacing="1" w:after="100" w:afterAutospacing="1"/>
      <w:jc w:val="center"/>
      <w:textAlignment w:val="center"/>
    </w:pPr>
    <w:rPr>
      <w:rFonts w:ascii="宋体" w:hAnsi="宋体" w:cs="宋体"/>
      <w:b/>
      <w:bCs/>
      <w:color w:val="000000"/>
      <w:kern w:val="0"/>
      <w:sz w:val="20"/>
    </w:rPr>
  </w:style>
  <w:style w:type="paragraph" w:customStyle="1" w:styleId="546">
    <w:name w:val="ST20_1"/>
    <w:basedOn w:val="1"/>
    <w:qFormat/>
    <w:uiPriority w:val="0"/>
    <w:pPr>
      <w:tabs>
        <w:tab w:val="left" w:pos="1500"/>
      </w:tabs>
      <w:autoSpaceDE w:val="0"/>
      <w:autoSpaceDN w:val="0"/>
      <w:adjustRightInd w:val="0"/>
      <w:snapToGrid w:val="0"/>
      <w:spacing w:line="360" w:lineRule="auto"/>
      <w:ind w:firstLine="540" w:firstLineChars="225"/>
    </w:pPr>
    <w:rPr>
      <w:rFonts w:ascii="宋体" w:hAnsi="Tms Rmn" w:eastAsia="仿宋_GB2312"/>
      <w:bCs/>
      <w:kern w:val="0"/>
      <w:sz w:val="24"/>
    </w:rPr>
  </w:style>
  <w:style w:type="paragraph" w:customStyle="1" w:styleId="547">
    <w:name w:val="et2"/>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b/>
      <w:bCs/>
      <w:color w:val="000000"/>
      <w:kern w:val="0"/>
      <w:sz w:val="20"/>
    </w:rPr>
  </w:style>
  <w:style w:type="paragraph" w:customStyle="1" w:styleId="548">
    <w:name w:val="表标题"/>
    <w:basedOn w:val="549"/>
    <w:qFormat/>
    <w:uiPriority w:val="0"/>
    <w:pPr>
      <w:spacing w:line="440" w:lineRule="exact"/>
    </w:pPr>
    <w:rPr>
      <w:rFonts w:ascii="Times New Roman"/>
    </w:rPr>
  </w:style>
  <w:style w:type="paragraph" w:customStyle="1" w:styleId="549">
    <w:name w:val="图标题"/>
    <w:basedOn w:val="1"/>
    <w:qFormat/>
    <w:uiPriority w:val="0"/>
    <w:pPr>
      <w:widowControl w:val="0"/>
      <w:spacing w:afterLines="50" w:line="320" w:lineRule="exact"/>
      <w:jc w:val="center"/>
    </w:pPr>
    <w:rPr>
      <w:rFonts w:ascii="宋体" w:hAnsi="宋体" w:eastAsia="仿宋_GB2312"/>
      <w:b/>
      <w:bCs/>
      <w:sz w:val="24"/>
      <w:szCs w:val="24"/>
    </w:rPr>
  </w:style>
  <w:style w:type="paragraph" w:customStyle="1" w:styleId="550">
    <w:name w:val="页眉12"/>
    <w:basedOn w:val="1"/>
    <w:qFormat/>
    <w:uiPriority w:val="0"/>
    <w:pPr>
      <w:spacing w:before="100" w:beforeAutospacing="1" w:after="100" w:afterAutospacing="1" w:line="400" w:lineRule="atLeast"/>
      <w:jc w:val="left"/>
    </w:pPr>
    <w:rPr>
      <w:rFonts w:ascii="ˎ̥" w:hAnsi="ˎ̥" w:eastAsia="仿宋_GB2312" w:cs="宋体"/>
      <w:b/>
      <w:bCs/>
      <w:color w:val="4B9BE7"/>
      <w:kern w:val="0"/>
      <w:sz w:val="24"/>
      <w:szCs w:val="21"/>
    </w:rPr>
  </w:style>
  <w:style w:type="paragraph" w:customStyle="1" w:styleId="551">
    <w:name w:val="扉页_文档编号"/>
    <w:qFormat/>
    <w:uiPriority w:val="0"/>
    <w:pPr>
      <w:jc w:val="center"/>
    </w:pPr>
    <w:rPr>
      <w:rFonts w:ascii="Times New Roman" w:hAnsi="Times New Roman" w:eastAsia="宋体" w:cs="Times New Roman"/>
      <w:b/>
      <w:kern w:val="2"/>
      <w:sz w:val="28"/>
      <w:szCs w:val="24"/>
      <w:lang w:val="en-US" w:eastAsia="zh-CN" w:bidi="ar-SA"/>
    </w:rPr>
  </w:style>
  <w:style w:type="paragraph" w:customStyle="1" w:styleId="552">
    <w:name w:val="样式 标题 1 + 黑体 小二"/>
    <w:basedOn w:val="2"/>
    <w:qFormat/>
    <w:uiPriority w:val="0"/>
    <w:pPr>
      <w:widowControl w:val="0"/>
      <w:spacing w:before="0" w:after="0" w:line="240" w:lineRule="auto"/>
    </w:pPr>
    <w:rPr>
      <w:rFonts w:ascii="黑体" w:hAnsi="黑体" w:eastAsia="黑体"/>
      <w:bCs/>
      <w:sz w:val="36"/>
      <w:szCs w:val="44"/>
    </w:rPr>
  </w:style>
  <w:style w:type="paragraph" w:customStyle="1" w:styleId="553">
    <w:name w:val="Char Char Char Char3"/>
    <w:basedOn w:val="1"/>
    <w:qFormat/>
    <w:uiPriority w:val="0"/>
    <w:pPr>
      <w:spacing w:line="240" w:lineRule="exact"/>
      <w:ind w:firstLine="200" w:firstLineChars="200"/>
      <w:jc w:val="left"/>
    </w:pPr>
    <w:rPr>
      <w:rFonts w:ascii="Verdana" w:hAnsi="Verdana" w:eastAsia="仿宋_GB2312"/>
      <w:kern w:val="0"/>
      <w:sz w:val="20"/>
      <w:lang w:eastAsia="en-US"/>
    </w:rPr>
  </w:style>
  <w:style w:type="paragraph" w:customStyle="1" w:styleId="554">
    <w:name w:val="样式 正文Alt+ctrl+Z + 首行缩进:  2 字符6"/>
    <w:basedOn w:val="210"/>
    <w:qFormat/>
    <w:uiPriority w:val="0"/>
    <w:rPr>
      <w:rFonts w:cs="宋体"/>
      <w:szCs w:val="20"/>
    </w:rPr>
  </w:style>
  <w:style w:type="paragraph" w:customStyle="1" w:styleId="555">
    <w:name w:val="二级节"/>
    <w:basedOn w:val="4"/>
    <w:qFormat/>
    <w:uiPriority w:val="0"/>
    <w:pPr>
      <w:widowControl w:val="0"/>
    </w:pPr>
    <w:rPr>
      <w:rFonts w:eastAsia="黑体"/>
      <w:b w:val="0"/>
      <w:sz w:val="30"/>
    </w:rPr>
  </w:style>
  <w:style w:type="paragraph" w:customStyle="1" w:styleId="556">
    <w:name w:val="font9"/>
    <w:basedOn w:val="1"/>
    <w:qFormat/>
    <w:uiPriority w:val="0"/>
    <w:pPr>
      <w:spacing w:before="100" w:beforeAutospacing="1" w:after="100" w:afterAutospacing="1"/>
      <w:jc w:val="left"/>
    </w:pPr>
    <w:rPr>
      <w:color w:val="000000"/>
      <w:kern w:val="0"/>
      <w:sz w:val="20"/>
    </w:rPr>
  </w:style>
  <w:style w:type="paragraph" w:customStyle="1" w:styleId="557">
    <w:name w:val="封面_公司名称"/>
    <w:qFormat/>
    <w:uiPriority w:val="0"/>
    <w:pPr>
      <w:jc w:val="center"/>
    </w:pPr>
    <w:rPr>
      <w:rFonts w:ascii="Times New Roman" w:hAnsi="Times New Roman" w:eastAsia="黑体" w:cs="Times New Roman"/>
      <w:kern w:val="2"/>
      <w:sz w:val="32"/>
      <w:szCs w:val="24"/>
      <w:lang w:val="en-US" w:eastAsia="zh-CN" w:bidi="ar-SA"/>
    </w:rPr>
  </w:style>
  <w:style w:type="paragraph" w:customStyle="1" w:styleId="558">
    <w:name w:val="条"/>
    <w:basedOn w:val="4"/>
    <w:qFormat/>
    <w:uiPriority w:val="0"/>
    <w:pPr>
      <w:widowControl w:val="0"/>
      <w:adjustRightInd w:val="0"/>
      <w:snapToGrid w:val="0"/>
      <w:spacing w:before="0" w:after="0" w:line="440" w:lineRule="exact"/>
      <w:jc w:val="left"/>
      <w:textAlignment w:val="baseline"/>
    </w:pPr>
    <w:rPr>
      <w:rFonts w:ascii="宋体" w:hAnsi="宋体" w:eastAsia="仿宋_GB2312"/>
      <w:b w:val="0"/>
      <w:sz w:val="24"/>
      <w:szCs w:val="20"/>
    </w:rPr>
  </w:style>
  <w:style w:type="paragraph" w:customStyle="1" w:styleId="559">
    <w:name w:val="xl5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Cs w:val="21"/>
    </w:rPr>
  </w:style>
  <w:style w:type="paragraph" w:customStyle="1" w:styleId="560">
    <w:name w:val="Table Description"/>
    <w:next w:val="1"/>
    <w:qFormat/>
    <w:uiPriority w:val="0"/>
    <w:pPr>
      <w:keepNext/>
      <w:snapToGrid w:val="0"/>
      <w:spacing w:before="160" w:after="80"/>
      <w:ind w:left="1701"/>
      <w:jc w:val="center"/>
    </w:pPr>
    <w:rPr>
      <w:rFonts w:ascii="Arial" w:hAnsi="Arial" w:eastAsia="黑体" w:cs="Times New Roman"/>
      <w:sz w:val="18"/>
      <w:lang w:val="en-US" w:eastAsia="zh-CN" w:bidi="ar-SA"/>
    </w:rPr>
  </w:style>
  <w:style w:type="paragraph" w:customStyle="1" w:styleId="561">
    <w:name w:val="xl3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b/>
      <w:bCs/>
      <w:kern w:val="0"/>
      <w:sz w:val="24"/>
      <w:szCs w:val="24"/>
    </w:rPr>
  </w:style>
  <w:style w:type="paragraph" w:customStyle="1" w:styleId="562">
    <w:name w:val="样式 正文文本 2 + 首行缩进:  2 字符"/>
    <w:basedOn w:val="1"/>
    <w:qFormat/>
    <w:uiPriority w:val="0"/>
    <w:pPr>
      <w:widowControl w:val="0"/>
      <w:spacing w:line="360" w:lineRule="auto"/>
      <w:ind w:firstLine="560" w:firstLineChars="200"/>
    </w:pPr>
    <w:rPr>
      <w:rFonts w:ascii="宋体" w:hAnsi="宋体" w:cs="Arial"/>
      <w:sz w:val="28"/>
      <w:szCs w:val="28"/>
    </w:rPr>
  </w:style>
  <w:style w:type="paragraph" w:customStyle="1" w:styleId="563">
    <w:name w:val="样式 四号 加粗"/>
    <w:basedOn w:val="1"/>
    <w:qFormat/>
    <w:uiPriority w:val="0"/>
    <w:pPr>
      <w:widowControl w:val="0"/>
      <w:spacing w:line="360" w:lineRule="auto"/>
      <w:ind w:firstLine="275" w:firstLineChars="98"/>
    </w:pPr>
    <w:rPr>
      <w:rFonts w:cs="宋体"/>
      <w:b/>
      <w:bCs/>
      <w:sz w:val="28"/>
    </w:rPr>
  </w:style>
  <w:style w:type="paragraph" w:customStyle="1" w:styleId="564">
    <w:name w:val="小节标题"/>
    <w:basedOn w:val="1"/>
    <w:next w:val="1"/>
    <w:qFormat/>
    <w:uiPriority w:val="0"/>
    <w:pPr>
      <w:spacing w:before="175" w:after="102" w:line="351" w:lineRule="atLeast"/>
      <w:textAlignment w:val="baseline"/>
    </w:pPr>
    <w:rPr>
      <w:rFonts w:eastAsia="黑体"/>
      <w:color w:val="000000"/>
      <w:kern w:val="0"/>
      <w:u w:color="000000"/>
    </w:rPr>
  </w:style>
  <w:style w:type="paragraph" w:customStyle="1" w:styleId="565">
    <w:name w:val="bullet"/>
    <w:basedOn w:val="1"/>
    <w:qFormat/>
    <w:uiPriority w:val="0"/>
    <w:pPr>
      <w:widowControl w:val="0"/>
      <w:tabs>
        <w:tab w:val="left" w:pos="720"/>
      </w:tabs>
      <w:spacing w:line="360" w:lineRule="auto"/>
      <w:ind w:left="720" w:hanging="360"/>
    </w:pPr>
    <w:rPr>
      <w:szCs w:val="24"/>
    </w:rPr>
  </w:style>
  <w:style w:type="paragraph" w:customStyle="1" w:styleId="566">
    <w:name w:val="xl94"/>
    <w:basedOn w:val="1"/>
    <w:qFormat/>
    <w:uiPriority w:val="0"/>
    <w:pPr>
      <w:spacing w:before="100" w:beforeAutospacing="1" w:after="100" w:afterAutospacing="1"/>
      <w:jc w:val="left"/>
    </w:pPr>
    <w:rPr>
      <w:rFonts w:ascii="宋体" w:hAnsi="宋体" w:eastAsia="仿宋_GB2312" w:cs="宋体"/>
      <w:b/>
      <w:bCs/>
      <w:kern w:val="0"/>
      <w:sz w:val="20"/>
    </w:rPr>
  </w:style>
  <w:style w:type="paragraph" w:customStyle="1" w:styleId="567">
    <w:name w:val="xl10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仿宋_GB2312" w:cs="宋体"/>
      <w:color w:val="000000"/>
      <w:kern w:val="0"/>
      <w:sz w:val="20"/>
    </w:rPr>
  </w:style>
  <w:style w:type="paragraph" w:customStyle="1" w:styleId="568">
    <w:name w:val="样式 小四 行距: 多倍行距 1.55 字行"/>
    <w:basedOn w:val="1"/>
    <w:qFormat/>
    <w:uiPriority w:val="0"/>
    <w:pPr>
      <w:widowControl w:val="0"/>
      <w:adjustRightInd w:val="0"/>
      <w:spacing w:line="372" w:lineRule="auto"/>
      <w:ind w:firstLine="480" w:firstLineChars="200"/>
      <w:textAlignment w:val="baseline"/>
    </w:pPr>
    <w:rPr>
      <w:rFonts w:eastAsia="仿宋_GB2312" w:cs="宋体"/>
      <w:sz w:val="28"/>
      <w:szCs w:val="28"/>
    </w:rPr>
  </w:style>
  <w:style w:type="paragraph" w:customStyle="1" w:styleId="569">
    <w:name w:val="表文字"/>
    <w:basedOn w:val="529"/>
    <w:next w:val="1"/>
    <w:qFormat/>
    <w:uiPriority w:val="0"/>
    <w:pPr>
      <w:jc w:val="left"/>
    </w:pPr>
    <w:rPr>
      <w:szCs w:val="20"/>
    </w:rPr>
  </w:style>
  <w:style w:type="paragraph" w:customStyle="1" w:styleId="570">
    <w:name w:val="用户正文"/>
    <w:basedOn w:val="1"/>
    <w:qFormat/>
    <w:uiPriority w:val="0"/>
    <w:pPr>
      <w:widowControl w:val="0"/>
      <w:ind w:firstLine="200" w:firstLineChars="200"/>
    </w:pPr>
    <w:rPr>
      <w:rFonts w:ascii="Book Antiqua" w:hAnsi="Book Antiqua"/>
      <w:sz w:val="28"/>
      <w:szCs w:val="24"/>
    </w:rPr>
  </w:style>
  <w:style w:type="paragraph" w:customStyle="1" w:styleId="571">
    <w:name w:val="Char Char Char Char1 Char Char Char Char Char Char Char Char Char Char Char Char Char Char Char Char Char Char Char Char Char Char Char Char Char Char1 Char Char Char Char Char Char Char Char Char Char Char Char Char Char1"/>
    <w:basedOn w:val="1"/>
    <w:qFormat/>
    <w:uiPriority w:val="0"/>
    <w:pPr>
      <w:keepNext/>
      <w:keepLines/>
      <w:widowControl w:val="0"/>
      <w:tabs>
        <w:tab w:val="left" w:pos="856"/>
      </w:tabs>
      <w:ind w:left="856" w:hanging="432" w:firstLineChars="200"/>
    </w:pPr>
    <w:rPr>
      <w:rFonts w:ascii="Tahoma" w:hAnsi="Tahoma"/>
      <w:sz w:val="24"/>
      <w:szCs w:val="28"/>
    </w:rPr>
  </w:style>
  <w:style w:type="paragraph" w:customStyle="1" w:styleId="572">
    <w:name w:val="条目"/>
    <w:basedOn w:val="1"/>
    <w:qFormat/>
    <w:uiPriority w:val="0"/>
    <w:pPr>
      <w:adjustRightInd w:val="0"/>
      <w:snapToGrid w:val="0"/>
      <w:spacing w:line="312" w:lineRule="auto"/>
      <w:ind w:left="200" w:leftChars="200"/>
      <w:jc w:val="left"/>
    </w:pPr>
    <w:rPr>
      <w:rFonts w:eastAsia="仿宋_GB2312"/>
      <w:kern w:val="0"/>
      <w:sz w:val="24"/>
      <w:lang w:eastAsia="en-US" w:bidi="en-US"/>
    </w:rPr>
  </w:style>
  <w:style w:type="paragraph" w:customStyle="1" w:styleId="573">
    <w:name w:val="封皮2"/>
    <w:basedOn w:val="1"/>
    <w:qFormat/>
    <w:uiPriority w:val="0"/>
    <w:pPr>
      <w:widowControl w:val="0"/>
      <w:spacing w:before="340" w:after="330" w:line="578" w:lineRule="auto"/>
      <w:jc w:val="center"/>
    </w:pPr>
    <w:rPr>
      <w:rFonts w:eastAsia="黑体"/>
      <w:b/>
      <w:spacing w:val="60"/>
      <w:w w:val="150"/>
      <w:sz w:val="44"/>
      <w:szCs w:val="44"/>
    </w:rPr>
  </w:style>
  <w:style w:type="paragraph" w:customStyle="1" w:styleId="574">
    <w:name w:val="font8"/>
    <w:basedOn w:val="1"/>
    <w:qFormat/>
    <w:uiPriority w:val="0"/>
    <w:pPr>
      <w:spacing w:before="100" w:beforeAutospacing="1" w:after="100" w:afterAutospacing="1"/>
      <w:jc w:val="left"/>
    </w:pPr>
    <w:rPr>
      <w:rFonts w:ascii="宋体" w:hAnsi="宋体" w:cs="宋体"/>
      <w:color w:val="000000"/>
      <w:kern w:val="0"/>
      <w:sz w:val="20"/>
    </w:rPr>
  </w:style>
  <w:style w:type="paragraph" w:customStyle="1" w:styleId="575">
    <w:name w:val="Char1 Char Char"/>
    <w:basedOn w:val="1"/>
    <w:qFormat/>
    <w:uiPriority w:val="0"/>
    <w:pPr>
      <w:widowControl w:val="0"/>
    </w:pPr>
    <w:rPr>
      <w:rFonts w:ascii="Tahoma" w:hAnsi="Tahoma" w:eastAsia="仿宋_GB2312"/>
      <w:sz w:val="24"/>
    </w:rPr>
  </w:style>
  <w:style w:type="paragraph" w:customStyle="1" w:styleId="576">
    <w:name w:val="我的正文"/>
    <w:basedOn w:val="1"/>
    <w:qFormat/>
    <w:uiPriority w:val="0"/>
    <w:pPr>
      <w:widowControl w:val="0"/>
      <w:spacing w:line="440" w:lineRule="atLeast"/>
      <w:ind w:firstLine="576" w:firstLineChars="200"/>
    </w:pPr>
    <w:rPr>
      <w:rFonts w:ascii="宋体" w:hAnsi="宋体"/>
      <w:spacing w:val="24"/>
      <w:sz w:val="24"/>
      <w:szCs w:val="24"/>
    </w:rPr>
  </w:style>
  <w:style w:type="paragraph" w:customStyle="1" w:styleId="577">
    <w:name w:val="Char Char Char Char Char Char Char Char Char Char Char Char Char Char Char Char1"/>
    <w:basedOn w:val="1"/>
    <w:qFormat/>
    <w:uiPriority w:val="0"/>
    <w:pPr>
      <w:widowControl w:val="0"/>
      <w:tabs>
        <w:tab w:val="left" w:pos="420"/>
      </w:tabs>
      <w:ind w:left="420" w:hanging="420"/>
    </w:pPr>
    <w:rPr>
      <w:rFonts w:eastAsia="仿宋_GB2312"/>
      <w:sz w:val="24"/>
      <w:szCs w:val="24"/>
    </w:rPr>
  </w:style>
  <w:style w:type="paragraph" w:customStyle="1" w:styleId="578">
    <w:name w:val="（1现用正文"/>
    <w:basedOn w:val="1"/>
    <w:qFormat/>
    <w:uiPriority w:val="0"/>
    <w:pPr>
      <w:widowControl w:val="0"/>
      <w:spacing w:line="520" w:lineRule="atLeast"/>
      <w:ind w:firstLine="480"/>
    </w:pPr>
    <w:rPr>
      <w:rFonts w:ascii="宋体" w:hAnsi="宋体" w:eastAsia="仿宋_GB2312" w:cs="宋体"/>
      <w:color w:val="000000"/>
      <w:sz w:val="24"/>
    </w:rPr>
  </w:style>
  <w:style w:type="paragraph" w:customStyle="1" w:styleId="579">
    <w:name w:val="列出段落5"/>
    <w:basedOn w:val="1"/>
    <w:qFormat/>
    <w:uiPriority w:val="0"/>
    <w:pPr>
      <w:widowControl w:val="0"/>
      <w:spacing w:before="120" w:after="120" w:line="360" w:lineRule="auto"/>
      <w:ind w:firstLine="420" w:firstLineChars="200"/>
    </w:pPr>
    <w:rPr>
      <w:rFonts w:ascii="Calibri" w:hAnsi="Calibri" w:cs="黑体"/>
      <w:szCs w:val="22"/>
    </w:rPr>
  </w:style>
  <w:style w:type="paragraph" w:customStyle="1" w:styleId="580">
    <w:name w:val="样式 标题 2Title Header2h2sect 1.2H22nd level2Header 2UNDERR..."/>
    <w:basedOn w:val="3"/>
    <w:qFormat/>
    <w:uiPriority w:val="0"/>
    <w:pPr>
      <w:widowControl w:val="0"/>
      <w:tabs>
        <w:tab w:val="left" w:pos="720"/>
      </w:tabs>
      <w:autoSpaceDE w:val="0"/>
      <w:autoSpaceDN w:val="0"/>
      <w:adjustRightInd w:val="0"/>
      <w:spacing w:before="120" w:after="120" w:line="480" w:lineRule="atLeast"/>
    </w:pPr>
    <w:rPr>
      <w:rFonts w:ascii="Times New Roman" w:hAnsi="Times New Roman" w:eastAsia="仿宋_GB2312" w:cs="宋体"/>
      <w:b w:val="0"/>
      <w:bCs w:val="0"/>
      <w:sz w:val="28"/>
      <w:szCs w:val="20"/>
    </w:rPr>
  </w:style>
  <w:style w:type="paragraph" w:customStyle="1" w:styleId="581">
    <w:name w:val="font16"/>
    <w:basedOn w:val="1"/>
    <w:qFormat/>
    <w:uiPriority w:val="0"/>
    <w:pPr>
      <w:spacing w:before="100" w:beforeAutospacing="1" w:after="100" w:afterAutospacing="1"/>
      <w:jc w:val="left"/>
    </w:pPr>
    <w:rPr>
      <w:color w:val="000000"/>
      <w:kern w:val="0"/>
      <w:sz w:val="28"/>
      <w:szCs w:val="28"/>
    </w:rPr>
  </w:style>
  <w:style w:type="paragraph" w:customStyle="1" w:styleId="582">
    <w:name w:val="目录_目录"/>
    <w:qFormat/>
    <w:uiPriority w:val="0"/>
    <w:pPr>
      <w:jc w:val="center"/>
    </w:pPr>
    <w:rPr>
      <w:rFonts w:ascii="Times New Roman" w:hAnsi="Times New Roman" w:eastAsia="黑体" w:cs="Times New Roman"/>
      <w:kern w:val="2"/>
      <w:sz w:val="32"/>
      <w:szCs w:val="24"/>
      <w:lang w:val="en-US" w:eastAsia="zh-CN" w:bidi="ar-SA"/>
    </w:rPr>
  </w:style>
  <w:style w:type="paragraph" w:customStyle="1" w:styleId="583">
    <w:name w:val="et16"/>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color w:val="000000"/>
      <w:kern w:val="0"/>
      <w:sz w:val="20"/>
    </w:rPr>
  </w:style>
  <w:style w:type="paragraph" w:customStyle="1" w:styleId="584">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color w:val="000000"/>
      <w:kern w:val="0"/>
      <w:sz w:val="20"/>
    </w:rPr>
  </w:style>
  <w:style w:type="paragraph" w:customStyle="1" w:styleId="585">
    <w:name w:val="xl127"/>
    <w:basedOn w:val="1"/>
    <w:qFormat/>
    <w:uiPriority w:val="0"/>
    <w:pPr>
      <w:pBdr>
        <w:bottom w:val="single" w:color="auto" w:sz="4" w:space="0"/>
      </w:pBdr>
      <w:spacing w:before="100" w:beforeAutospacing="1" w:after="100" w:afterAutospacing="1"/>
      <w:jc w:val="left"/>
    </w:pPr>
    <w:rPr>
      <w:kern w:val="0"/>
      <w:szCs w:val="21"/>
    </w:rPr>
  </w:style>
  <w:style w:type="paragraph" w:customStyle="1" w:styleId="586">
    <w:name w:val="xl93"/>
    <w:basedOn w:val="1"/>
    <w:qFormat/>
    <w:uiPriority w:val="0"/>
    <w:pPr>
      <w:spacing w:before="100" w:beforeAutospacing="1" w:after="100" w:afterAutospacing="1"/>
      <w:jc w:val="left"/>
    </w:pPr>
    <w:rPr>
      <w:rFonts w:ascii="宋体" w:hAnsi="宋体" w:eastAsia="仿宋_GB2312" w:cs="宋体"/>
      <w:kern w:val="0"/>
      <w:sz w:val="20"/>
    </w:rPr>
  </w:style>
  <w:style w:type="paragraph" w:customStyle="1" w:styleId="587">
    <w:name w:val="my文本"/>
    <w:basedOn w:val="1"/>
    <w:qFormat/>
    <w:uiPriority w:val="0"/>
    <w:pPr>
      <w:widowControl w:val="0"/>
      <w:ind w:firstLine="560" w:firstLineChars="200"/>
    </w:pPr>
    <w:rPr>
      <w:rFonts w:eastAsia="仿宋_GB2312" w:cs="宋体"/>
      <w:sz w:val="28"/>
    </w:rPr>
  </w:style>
  <w:style w:type="paragraph" w:customStyle="1" w:styleId="588">
    <w:name w:val="Char1 Char Char Char2"/>
    <w:basedOn w:val="1"/>
    <w:qFormat/>
    <w:uiPriority w:val="0"/>
    <w:pPr>
      <w:spacing w:after="160" w:line="240" w:lineRule="exact"/>
      <w:jc w:val="left"/>
    </w:pPr>
    <w:rPr>
      <w:rFonts w:ascii="Verdana" w:hAnsi="Verdana" w:eastAsia="仿宋_GB2312"/>
      <w:kern w:val="0"/>
      <w:sz w:val="20"/>
      <w:lang w:eastAsia="en-US"/>
    </w:rPr>
  </w:style>
  <w:style w:type="paragraph" w:customStyle="1" w:styleId="589">
    <w:name w:val="Char Char Char Char Char Char Char4"/>
    <w:basedOn w:val="1"/>
    <w:qFormat/>
    <w:uiPriority w:val="0"/>
    <w:pPr>
      <w:widowControl w:val="0"/>
      <w:spacing w:line="360" w:lineRule="auto"/>
      <w:ind w:firstLine="200" w:firstLineChars="200"/>
    </w:pPr>
    <w:rPr>
      <w:rFonts w:ascii="宋体" w:hAnsi="宋体" w:eastAsia="仿宋_GB2312" w:cs="宋体"/>
      <w:sz w:val="24"/>
      <w:szCs w:val="24"/>
    </w:rPr>
  </w:style>
  <w:style w:type="paragraph" w:customStyle="1" w:styleId="590">
    <w:name w:val="列表编号 7 + 五号"/>
    <w:basedOn w:val="591"/>
    <w:qFormat/>
    <w:uiPriority w:val="0"/>
    <w:pPr>
      <w:tabs>
        <w:tab w:val="left" w:pos="1050"/>
      </w:tabs>
      <w:ind w:left="1050" w:hanging="420"/>
    </w:pPr>
    <w:rPr>
      <w:kern w:val="0"/>
      <w:sz w:val="21"/>
      <w:szCs w:val="21"/>
    </w:rPr>
  </w:style>
  <w:style w:type="paragraph" w:customStyle="1" w:styleId="591">
    <w:name w:val="列表编号 6"/>
    <w:basedOn w:val="46"/>
    <w:qFormat/>
    <w:uiPriority w:val="0"/>
    <w:pPr>
      <w:tabs>
        <w:tab w:val="left" w:pos="1050"/>
        <w:tab w:val="clear" w:pos="1500"/>
        <w:tab w:val="clear" w:pos="2040"/>
      </w:tabs>
      <w:ind w:hanging="1410"/>
    </w:pPr>
  </w:style>
  <w:style w:type="paragraph" w:customStyle="1" w:styleId="592">
    <w:name w:val="文件"/>
    <w:basedOn w:val="1"/>
    <w:qFormat/>
    <w:uiPriority w:val="0"/>
    <w:pPr>
      <w:tabs>
        <w:tab w:val="left" w:pos="1500"/>
      </w:tabs>
      <w:autoSpaceDE w:val="0"/>
      <w:autoSpaceDN w:val="0"/>
      <w:adjustRightInd w:val="0"/>
      <w:snapToGrid w:val="0"/>
      <w:spacing w:before="120" w:after="360" w:line="360" w:lineRule="auto"/>
      <w:ind w:firstLine="540" w:firstLineChars="225"/>
      <w:jc w:val="center"/>
    </w:pPr>
    <w:rPr>
      <w:rFonts w:ascii="宋体" w:hAnsi="宋体" w:eastAsia="黑体"/>
      <w:b/>
      <w:bCs/>
      <w:sz w:val="32"/>
    </w:rPr>
  </w:style>
  <w:style w:type="paragraph" w:customStyle="1" w:styleId="593">
    <w:name w:val="fa正文"/>
    <w:basedOn w:val="1"/>
    <w:qFormat/>
    <w:uiPriority w:val="0"/>
    <w:pPr>
      <w:widowControl w:val="0"/>
      <w:autoSpaceDN w:val="0"/>
      <w:spacing w:beforeLines="50"/>
      <w:ind w:firstLine="480" w:firstLineChars="200"/>
    </w:pPr>
    <w:rPr>
      <w:rFonts w:ascii="Tahoma" w:hAnsi="华文细黑" w:eastAsia="华文细黑" w:cs="Tahoma"/>
      <w:kern w:val="0"/>
      <w:sz w:val="24"/>
      <w:szCs w:val="24"/>
    </w:rPr>
  </w:style>
  <w:style w:type="paragraph" w:customStyle="1" w:styleId="594">
    <w:name w:val="xl22"/>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eastAsia="仿宋_GB2312" w:cs="宋体"/>
      <w:kern w:val="0"/>
      <w:sz w:val="24"/>
      <w:szCs w:val="21"/>
    </w:rPr>
  </w:style>
  <w:style w:type="paragraph" w:customStyle="1" w:styleId="595">
    <w:name w:val="et25"/>
    <w:basedOn w:val="1"/>
    <w:qFormat/>
    <w:uiPriority w:val="0"/>
    <w:pPr>
      <w:pBdr>
        <w:top w:val="single" w:color="000000" w:sz="4" w:space="0"/>
        <w:left w:val="single" w:color="000000" w:sz="12" w:space="0"/>
        <w:bottom w:val="single" w:color="000000" w:sz="4" w:space="0"/>
        <w:right w:val="single" w:color="000000" w:sz="4" w:space="0"/>
      </w:pBdr>
      <w:spacing w:before="100" w:beforeAutospacing="1" w:after="100" w:afterAutospacing="1"/>
      <w:jc w:val="center"/>
      <w:textAlignment w:val="center"/>
    </w:pPr>
    <w:rPr>
      <w:rFonts w:ascii="宋体" w:hAnsi="宋体" w:cs="宋体"/>
      <w:color w:val="000000"/>
      <w:kern w:val="0"/>
      <w:sz w:val="20"/>
    </w:rPr>
  </w:style>
  <w:style w:type="paragraph" w:customStyle="1" w:styleId="596">
    <w:name w:val="封皮6"/>
    <w:basedOn w:val="1"/>
    <w:qFormat/>
    <w:uiPriority w:val="0"/>
    <w:pPr>
      <w:widowControl w:val="0"/>
      <w:jc w:val="center"/>
    </w:pPr>
    <w:rPr>
      <w:rFonts w:ascii="华文行楷" w:hAnsi="华文行楷" w:eastAsia="华文行楷"/>
      <w:i/>
      <w:sz w:val="32"/>
      <w:szCs w:val="24"/>
    </w:rPr>
  </w:style>
  <w:style w:type="paragraph" w:customStyle="1" w:styleId="597">
    <w:name w:val="样式 样式 样式 样式 样式 小四 行距: 1.5 倍行距 + 首行缩进:  2 字符 + 首行缩进:  2 字符 + 首行缩进..."/>
    <w:basedOn w:val="1"/>
    <w:qFormat/>
    <w:uiPriority w:val="0"/>
    <w:pPr>
      <w:widowControl w:val="0"/>
      <w:spacing w:line="460" w:lineRule="exact"/>
      <w:ind w:firstLine="200" w:firstLineChars="200"/>
    </w:pPr>
    <w:rPr>
      <w:rFonts w:eastAsia="仿宋_GB2312" w:cs="宋体"/>
      <w:sz w:val="28"/>
    </w:rPr>
  </w:style>
  <w:style w:type="paragraph" w:customStyle="1" w:styleId="598">
    <w:name w:val="xl113"/>
    <w:basedOn w:val="1"/>
    <w:qFormat/>
    <w:uiPriority w:val="0"/>
    <w:pPr>
      <w:spacing w:before="100" w:beforeAutospacing="1" w:after="100" w:afterAutospacing="1"/>
      <w:jc w:val="left"/>
    </w:pPr>
    <w:rPr>
      <w:rFonts w:ascii="仿宋" w:hAnsi="仿宋" w:eastAsia="仿宋" w:cs="宋体"/>
      <w:b/>
      <w:bCs/>
      <w:kern w:val="0"/>
      <w:sz w:val="20"/>
    </w:rPr>
  </w:style>
  <w:style w:type="paragraph" w:customStyle="1" w:styleId="599">
    <w:name w:val="font19"/>
    <w:basedOn w:val="1"/>
    <w:qFormat/>
    <w:uiPriority w:val="0"/>
    <w:pPr>
      <w:spacing w:before="100" w:beforeAutospacing="1" w:after="100" w:afterAutospacing="1"/>
      <w:jc w:val="left"/>
    </w:pPr>
    <w:rPr>
      <w:rFonts w:ascii="宋体" w:hAnsi="宋体" w:cs="宋体"/>
      <w:kern w:val="0"/>
      <w:sz w:val="18"/>
      <w:szCs w:val="18"/>
    </w:rPr>
  </w:style>
  <w:style w:type="paragraph" w:customStyle="1" w:styleId="600">
    <w:name w:val="xl9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eastAsia="仿宋_GB2312" w:cs="宋体"/>
      <w:color w:val="000000"/>
      <w:kern w:val="0"/>
      <w:sz w:val="20"/>
    </w:rPr>
  </w:style>
  <w:style w:type="paragraph" w:customStyle="1" w:styleId="601">
    <w:name w:val="正文缩进5"/>
    <w:basedOn w:val="1"/>
    <w:qFormat/>
    <w:uiPriority w:val="0"/>
    <w:pPr>
      <w:widowControl w:val="0"/>
      <w:ind w:firstLine="420" w:firstLineChars="200"/>
    </w:pPr>
    <w:rPr>
      <w:rFonts w:eastAsia="仿宋_GB2312"/>
      <w:sz w:val="24"/>
      <w:szCs w:val="24"/>
    </w:rPr>
  </w:style>
  <w:style w:type="paragraph" w:customStyle="1" w:styleId="602">
    <w:name w:val="样式 标题 3 + 宋体 小三 段前: 6 磅 段后: 6 磅 行距: 1.5 倍行距"/>
    <w:basedOn w:val="4"/>
    <w:qFormat/>
    <w:uiPriority w:val="0"/>
    <w:pPr>
      <w:widowControl w:val="0"/>
      <w:spacing w:before="120" w:after="120" w:line="360" w:lineRule="auto"/>
    </w:pPr>
    <w:rPr>
      <w:rFonts w:ascii="宋体" w:hAnsi="宋体" w:eastAsia="仿宋_GB2312" w:cs="宋体"/>
      <w:sz w:val="28"/>
      <w:szCs w:val="20"/>
    </w:rPr>
  </w:style>
  <w:style w:type="paragraph" w:customStyle="1" w:styleId="603">
    <w:name w:val="et4"/>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b/>
      <w:bCs/>
      <w:color w:val="000000"/>
      <w:kern w:val="0"/>
      <w:sz w:val="20"/>
    </w:rPr>
  </w:style>
  <w:style w:type="paragraph" w:customStyle="1" w:styleId="604">
    <w:name w:val="样式 标题 2H22nd levelh22Header 2l2Titre2Head 2List level 2..."/>
    <w:basedOn w:val="3"/>
    <w:next w:val="1"/>
    <w:qFormat/>
    <w:uiPriority w:val="0"/>
    <w:pPr>
      <w:widowControl w:val="0"/>
      <w:spacing w:before="0" w:after="0" w:line="240" w:lineRule="auto"/>
      <w:ind w:hanging="175" w:hangingChars="175"/>
    </w:pPr>
    <w:rPr>
      <w:rFonts w:ascii="Times New Roman" w:hAnsi="Times New Roman" w:eastAsia="仿宋_GB2312" w:cs="宋体"/>
      <w:b w:val="0"/>
      <w:bCs w:val="0"/>
      <w:sz w:val="28"/>
      <w:szCs w:val="20"/>
    </w:rPr>
  </w:style>
  <w:style w:type="paragraph" w:customStyle="1" w:styleId="605">
    <w:name w:val="清單段落"/>
    <w:basedOn w:val="1"/>
    <w:qFormat/>
    <w:uiPriority w:val="0"/>
    <w:pPr>
      <w:ind w:left="480" w:leftChars="200"/>
      <w:jc w:val="left"/>
    </w:pPr>
    <w:rPr>
      <w:rFonts w:ascii="Calibri" w:hAnsi="Calibri" w:eastAsia="PMingLiU"/>
      <w:kern w:val="0"/>
      <w:sz w:val="24"/>
      <w:szCs w:val="24"/>
      <w:lang w:eastAsia="zh-TW" w:bidi="en-US"/>
    </w:rPr>
  </w:style>
  <w:style w:type="paragraph" w:customStyle="1" w:styleId="606">
    <w:name w:val="样式10"/>
    <w:basedOn w:val="1"/>
    <w:qFormat/>
    <w:uiPriority w:val="0"/>
    <w:pPr>
      <w:widowControl w:val="0"/>
      <w:snapToGrid w:val="0"/>
      <w:spacing w:line="360" w:lineRule="auto"/>
      <w:ind w:firstLine="700" w:firstLineChars="250"/>
    </w:pPr>
    <w:rPr>
      <w:rFonts w:ascii="宋体" w:hAnsi="宋体"/>
      <w:sz w:val="28"/>
      <w:szCs w:val="28"/>
    </w:rPr>
  </w:style>
  <w:style w:type="paragraph" w:customStyle="1" w:styleId="607">
    <w:name w:val="hj style2 style28"/>
    <w:basedOn w:val="1"/>
    <w:qFormat/>
    <w:uiPriority w:val="0"/>
    <w:pPr>
      <w:tabs>
        <w:tab w:val="left" w:pos="1500"/>
      </w:tabs>
      <w:autoSpaceDE w:val="0"/>
      <w:autoSpaceDN w:val="0"/>
      <w:adjustRightInd w:val="0"/>
      <w:spacing w:before="100" w:beforeAutospacing="1" w:after="100" w:afterAutospacing="1"/>
      <w:jc w:val="left"/>
    </w:pPr>
    <w:rPr>
      <w:rFonts w:ascii="宋体" w:hAnsi="宋体" w:eastAsia="仿宋_GB2312" w:cs="宋体"/>
      <w:kern w:val="0"/>
      <w:sz w:val="24"/>
      <w:szCs w:val="24"/>
    </w:rPr>
  </w:style>
  <w:style w:type="paragraph" w:customStyle="1" w:styleId="608">
    <w:name w:val="样式 Times New Roman 小四 两端对齐 首行缩进:  0.9 厘米 行距: 最小值 24 磅"/>
    <w:basedOn w:val="1"/>
    <w:qFormat/>
    <w:uiPriority w:val="0"/>
    <w:pPr>
      <w:widowControl w:val="0"/>
      <w:autoSpaceDE w:val="0"/>
      <w:autoSpaceDN w:val="0"/>
      <w:adjustRightInd w:val="0"/>
      <w:spacing w:line="480" w:lineRule="atLeast"/>
      <w:ind w:firstLine="482"/>
    </w:pPr>
    <w:rPr>
      <w:rFonts w:eastAsia="仿宋_GB2312" w:cs="宋体"/>
      <w:color w:val="000000"/>
      <w:kern w:val="0"/>
      <w:sz w:val="24"/>
    </w:rPr>
  </w:style>
  <w:style w:type="paragraph" w:customStyle="1" w:styleId="609">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610">
    <w:name w:val="xl122"/>
    <w:basedOn w:val="1"/>
    <w:qFormat/>
    <w:uiPriority w:val="0"/>
    <w:pPr>
      <w:spacing w:before="100" w:beforeAutospacing="1" w:after="100" w:afterAutospacing="1"/>
      <w:jc w:val="center"/>
    </w:pPr>
    <w:rPr>
      <w:rFonts w:ascii="宋体" w:hAnsi="宋体" w:cs="宋体"/>
      <w:b/>
      <w:bCs/>
      <w:kern w:val="0"/>
      <w:sz w:val="28"/>
      <w:szCs w:val="28"/>
    </w:rPr>
  </w:style>
  <w:style w:type="paragraph" w:customStyle="1" w:styleId="611">
    <w:name w:val="Char Char Char Char1"/>
    <w:basedOn w:val="1"/>
    <w:qFormat/>
    <w:uiPriority w:val="0"/>
    <w:pPr>
      <w:spacing w:line="240" w:lineRule="exact"/>
      <w:ind w:firstLine="200" w:firstLineChars="200"/>
      <w:jc w:val="left"/>
    </w:pPr>
    <w:rPr>
      <w:rFonts w:ascii="Verdana" w:hAnsi="Verdana" w:eastAsia="仿宋_GB2312"/>
      <w:kern w:val="0"/>
      <w:sz w:val="20"/>
      <w:lang w:eastAsia="en-US"/>
    </w:rPr>
  </w:style>
  <w:style w:type="paragraph" w:customStyle="1" w:styleId="612">
    <w:name w:val="单位名称"/>
    <w:basedOn w:val="1"/>
    <w:qFormat/>
    <w:uiPriority w:val="0"/>
    <w:pPr>
      <w:widowControl w:val="0"/>
      <w:snapToGrid w:val="0"/>
      <w:spacing w:line="520" w:lineRule="exact"/>
      <w:jc w:val="center"/>
    </w:pPr>
    <w:rPr>
      <w:rFonts w:eastAsia="黑体"/>
      <w:b/>
      <w:sz w:val="32"/>
    </w:rPr>
  </w:style>
  <w:style w:type="paragraph" w:customStyle="1" w:styleId="613">
    <w:name w:val="样式 首行缩进:  2 字符"/>
    <w:basedOn w:val="1"/>
    <w:qFormat/>
    <w:uiPriority w:val="0"/>
    <w:pPr>
      <w:widowControl w:val="0"/>
      <w:tabs>
        <w:tab w:val="left" w:pos="1500"/>
      </w:tabs>
      <w:autoSpaceDE w:val="0"/>
      <w:autoSpaceDN w:val="0"/>
      <w:adjustRightInd w:val="0"/>
      <w:spacing w:line="360" w:lineRule="auto"/>
      <w:ind w:firstLine="480" w:firstLineChars="225"/>
    </w:pPr>
    <w:rPr>
      <w:rFonts w:eastAsia="仿宋_GB2312" w:cs="宋体"/>
      <w:sz w:val="24"/>
      <w:szCs w:val="24"/>
    </w:rPr>
  </w:style>
  <w:style w:type="paragraph" w:customStyle="1" w:styleId="614">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615">
    <w:name w:val="xl7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rPr>
  </w:style>
  <w:style w:type="paragraph" w:customStyle="1" w:styleId="616">
    <w:name w:val="xl114"/>
    <w:basedOn w:val="1"/>
    <w:qFormat/>
    <w:uiPriority w:val="0"/>
    <w:pPr>
      <w:spacing w:before="100" w:beforeAutospacing="1" w:after="100" w:afterAutospacing="1"/>
      <w:jc w:val="left"/>
    </w:pPr>
    <w:rPr>
      <w:rFonts w:ascii="仿宋" w:hAnsi="仿宋" w:eastAsia="仿宋" w:cs="宋体"/>
      <w:color w:val="000000"/>
      <w:kern w:val="0"/>
      <w:sz w:val="22"/>
      <w:szCs w:val="22"/>
    </w:rPr>
  </w:style>
  <w:style w:type="paragraph" w:customStyle="1" w:styleId="617">
    <w:name w:val="xl12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rPr>
  </w:style>
  <w:style w:type="paragraph" w:customStyle="1" w:styleId="618">
    <w:name w:val="xl8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0"/>
    </w:rPr>
  </w:style>
  <w:style w:type="paragraph" w:customStyle="1" w:styleId="619">
    <w:name w:val="图注"/>
    <w:basedOn w:val="1"/>
    <w:qFormat/>
    <w:uiPriority w:val="0"/>
    <w:pPr>
      <w:spacing w:line="579" w:lineRule="exact"/>
      <w:jc w:val="center"/>
    </w:pPr>
    <w:rPr>
      <w:rFonts w:eastAsia="仿宋_GB2312"/>
      <w:sz w:val="24"/>
      <w:szCs w:val="24"/>
    </w:rPr>
  </w:style>
  <w:style w:type="paragraph" w:customStyle="1" w:styleId="620">
    <w:name w:val="样式 样式 小四 行距: 1.5 倍行距 首行缩进:  2 字符 + 宋体"/>
    <w:basedOn w:val="1"/>
    <w:qFormat/>
    <w:uiPriority w:val="0"/>
    <w:pPr>
      <w:spacing w:line="360" w:lineRule="auto"/>
      <w:ind w:firstLine="480" w:firstLineChars="200"/>
      <w:jc w:val="left"/>
    </w:pPr>
    <w:rPr>
      <w:rFonts w:ascii="宋体" w:hAnsi="宋体" w:eastAsia="仿宋_GB2312"/>
      <w:kern w:val="0"/>
      <w:sz w:val="24"/>
      <w:lang w:eastAsia="en-US" w:bidi="en-US"/>
    </w:rPr>
  </w:style>
  <w:style w:type="paragraph" w:customStyle="1" w:styleId="621">
    <w:name w:val="表格中的文字"/>
    <w:qFormat/>
    <w:uiPriority w:val="0"/>
    <w:pPr>
      <w:keepLines/>
    </w:pPr>
    <w:rPr>
      <w:rFonts w:ascii="Times New Roman" w:hAnsi="Times New Roman" w:eastAsia="宋体" w:cs="Times New Roman"/>
      <w:sz w:val="21"/>
      <w:lang w:val="zh-CN" w:eastAsia="zh-CN" w:bidi="ar-SA"/>
    </w:rPr>
  </w:style>
  <w:style w:type="paragraph" w:customStyle="1" w:styleId="622">
    <w:name w:val="tabletext"/>
    <w:basedOn w:val="1"/>
    <w:qFormat/>
    <w:uiPriority w:val="0"/>
    <w:pPr>
      <w:spacing w:before="100" w:beforeAutospacing="1" w:after="100" w:afterAutospacing="1"/>
      <w:jc w:val="left"/>
    </w:pPr>
    <w:rPr>
      <w:rFonts w:ascii="宋体" w:hAnsi="宋体" w:eastAsia="仿宋_GB2312" w:cs="宋体"/>
      <w:kern w:val="0"/>
      <w:sz w:val="24"/>
      <w:szCs w:val="24"/>
    </w:rPr>
  </w:style>
  <w:style w:type="paragraph" w:customStyle="1" w:styleId="623">
    <w:name w:val="图形字体"/>
    <w:basedOn w:val="1"/>
    <w:qFormat/>
    <w:uiPriority w:val="0"/>
    <w:pPr>
      <w:widowControl w:val="0"/>
      <w:spacing w:line="360" w:lineRule="auto"/>
      <w:jc w:val="center"/>
    </w:pPr>
    <w:rPr>
      <w:rFonts w:eastAsia="仿宋_GB2312"/>
      <w:sz w:val="24"/>
      <w:szCs w:val="24"/>
    </w:rPr>
  </w:style>
  <w:style w:type="paragraph" w:customStyle="1" w:styleId="624">
    <w:name w:val="正文标题1"/>
    <w:basedOn w:val="2"/>
    <w:qFormat/>
    <w:uiPriority w:val="0"/>
    <w:pPr>
      <w:widowControl w:val="0"/>
      <w:spacing w:before="0" w:after="0" w:line="240" w:lineRule="auto"/>
    </w:pPr>
    <w:rPr>
      <w:rFonts w:ascii="Calibri" w:hAnsi="Calibri" w:eastAsia="黑体"/>
      <w:bCs/>
      <w:sz w:val="36"/>
      <w:szCs w:val="44"/>
    </w:rPr>
  </w:style>
  <w:style w:type="paragraph" w:customStyle="1" w:styleId="625">
    <w:name w:val="xl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 w:hAnsi="仿宋" w:eastAsia="仿宋" w:cs="宋体"/>
      <w:kern w:val="0"/>
      <w:sz w:val="20"/>
    </w:rPr>
  </w:style>
  <w:style w:type="paragraph" w:customStyle="1" w:styleId="626">
    <w:name w:val="Figure Description"/>
    <w:next w:val="1"/>
    <w:qFormat/>
    <w:uiPriority w:val="0"/>
    <w:pPr>
      <w:snapToGrid w:val="0"/>
      <w:spacing w:before="80" w:after="320"/>
      <w:ind w:left="1701"/>
      <w:jc w:val="center"/>
    </w:pPr>
    <w:rPr>
      <w:rFonts w:ascii="Arial" w:hAnsi="Arial" w:eastAsia="黑体" w:cs="Times New Roman"/>
      <w:sz w:val="18"/>
      <w:lang w:val="en-US" w:eastAsia="zh-CN" w:bidi="ar-SA"/>
    </w:rPr>
  </w:style>
  <w:style w:type="paragraph" w:customStyle="1" w:styleId="627">
    <w:name w:val="表格文字"/>
    <w:basedOn w:val="1"/>
    <w:qFormat/>
    <w:uiPriority w:val="99"/>
    <w:pPr>
      <w:widowControl w:val="0"/>
      <w:tabs>
        <w:tab w:val="left" w:pos="1500"/>
      </w:tabs>
      <w:autoSpaceDE w:val="0"/>
      <w:autoSpaceDN w:val="0"/>
      <w:adjustRightInd w:val="0"/>
    </w:pPr>
    <w:rPr>
      <w:rFonts w:ascii="Arial" w:hAnsi="Arial" w:eastAsia="仿宋_GB2312"/>
      <w:sz w:val="24"/>
      <w:szCs w:val="24"/>
      <w:lang w:val="en-GB"/>
    </w:rPr>
  </w:style>
  <w:style w:type="paragraph" w:customStyle="1" w:styleId="628">
    <w:name w:val="xl66"/>
    <w:basedOn w:val="1"/>
    <w:qFormat/>
    <w:uiPriority w:val="0"/>
    <w:pPr>
      <w:spacing w:before="100" w:beforeAutospacing="1" w:after="100" w:afterAutospacing="1"/>
      <w:jc w:val="left"/>
    </w:pPr>
    <w:rPr>
      <w:rFonts w:ascii="宋体" w:hAnsi="宋体" w:cs="宋体"/>
      <w:kern w:val="0"/>
      <w:sz w:val="20"/>
    </w:rPr>
  </w:style>
  <w:style w:type="paragraph" w:customStyle="1" w:styleId="629">
    <w:name w:val="样式 四号 首行缩进:  1 厘米"/>
    <w:basedOn w:val="1"/>
    <w:qFormat/>
    <w:uiPriority w:val="0"/>
    <w:pPr>
      <w:widowControl w:val="0"/>
      <w:spacing w:line="440" w:lineRule="exact"/>
      <w:ind w:firstLine="567"/>
    </w:pPr>
    <w:rPr>
      <w:rFonts w:eastAsia="仿宋_GB2312"/>
      <w:sz w:val="28"/>
    </w:rPr>
  </w:style>
  <w:style w:type="paragraph" w:customStyle="1" w:styleId="630">
    <w:name w:val="p15"/>
    <w:basedOn w:val="1"/>
    <w:qFormat/>
    <w:uiPriority w:val="0"/>
    <w:pPr>
      <w:snapToGrid w:val="0"/>
      <w:spacing w:line="360" w:lineRule="auto"/>
      <w:jc w:val="center"/>
    </w:pPr>
    <w:rPr>
      <w:rFonts w:ascii="Cambria" w:hAnsi="Cambria" w:cs="宋体"/>
      <w:kern w:val="0"/>
      <w:sz w:val="24"/>
      <w:szCs w:val="24"/>
    </w:rPr>
  </w:style>
  <w:style w:type="paragraph" w:customStyle="1" w:styleId="631">
    <w:name w:val="Char Char Char Char Char Char Char2"/>
    <w:basedOn w:val="1"/>
    <w:qFormat/>
    <w:uiPriority w:val="0"/>
    <w:pPr>
      <w:widowControl w:val="0"/>
      <w:spacing w:line="360" w:lineRule="auto"/>
      <w:ind w:firstLine="200" w:firstLineChars="200"/>
    </w:pPr>
    <w:rPr>
      <w:rFonts w:ascii="宋体" w:hAnsi="宋体" w:cs="宋体"/>
      <w:sz w:val="24"/>
      <w:szCs w:val="24"/>
    </w:rPr>
  </w:style>
  <w:style w:type="paragraph" w:customStyle="1" w:styleId="632">
    <w:name w:val="样式 标题 2 + 黑体 居中"/>
    <w:basedOn w:val="3"/>
    <w:qFormat/>
    <w:uiPriority w:val="0"/>
    <w:pPr>
      <w:pageBreakBefore/>
      <w:widowControl w:val="0"/>
      <w:spacing w:line="415" w:lineRule="auto"/>
      <w:jc w:val="center"/>
    </w:pPr>
    <w:rPr>
      <w:rFonts w:ascii="黑体" w:hAnsi="黑体" w:eastAsia="仿宋_GB2312" w:cs="宋体"/>
      <w:b w:val="0"/>
      <w:bCs w:val="0"/>
      <w:sz w:val="28"/>
      <w:szCs w:val="20"/>
    </w:rPr>
  </w:style>
  <w:style w:type="paragraph" w:customStyle="1" w:styleId="633">
    <w:name w:val="水调正文 Char Char"/>
    <w:basedOn w:val="1"/>
    <w:qFormat/>
    <w:uiPriority w:val="0"/>
    <w:pPr>
      <w:widowControl w:val="0"/>
      <w:spacing w:line="360" w:lineRule="auto"/>
      <w:ind w:firstLine="480" w:firstLineChars="200"/>
    </w:pPr>
    <w:rPr>
      <w:rFonts w:eastAsia="仿宋_GB2312"/>
      <w:sz w:val="28"/>
      <w:szCs w:val="24"/>
    </w:rPr>
  </w:style>
  <w:style w:type="paragraph" w:customStyle="1" w:styleId="634">
    <w:name w:val="样式 四号 行距: 1.5 倍行距"/>
    <w:basedOn w:val="1"/>
    <w:qFormat/>
    <w:uiPriority w:val="0"/>
    <w:pPr>
      <w:widowControl w:val="0"/>
      <w:adjustRightInd w:val="0"/>
      <w:spacing w:line="360" w:lineRule="auto"/>
      <w:ind w:firstLine="560" w:firstLineChars="200"/>
      <w:textAlignment w:val="baseline"/>
    </w:pPr>
    <w:rPr>
      <w:rFonts w:eastAsia="仿宋_GB2312" w:cs="宋体"/>
      <w:sz w:val="28"/>
      <w:szCs w:val="28"/>
    </w:rPr>
  </w:style>
  <w:style w:type="paragraph" w:customStyle="1" w:styleId="635">
    <w:name w:val="font1"/>
    <w:basedOn w:val="1"/>
    <w:qFormat/>
    <w:uiPriority w:val="0"/>
    <w:pPr>
      <w:spacing w:before="100" w:beforeAutospacing="1" w:after="100" w:afterAutospacing="1"/>
      <w:jc w:val="left"/>
    </w:pPr>
    <w:rPr>
      <w:rFonts w:ascii="宋体" w:hAnsi="宋体" w:cs="宋体"/>
      <w:color w:val="000000"/>
      <w:kern w:val="0"/>
      <w:sz w:val="22"/>
      <w:szCs w:val="22"/>
    </w:rPr>
  </w:style>
  <w:style w:type="paragraph" w:customStyle="1" w:styleId="636">
    <w:name w:val="xl108"/>
    <w:basedOn w:val="1"/>
    <w:qFormat/>
    <w:uiPriority w:val="0"/>
    <w:pPr>
      <w:pBdr>
        <w:top w:val="single" w:color="auto" w:sz="4" w:space="0"/>
        <w:bottom w:val="single" w:color="auto" w:sz="4" w:space="0"/>
      </w:pBdr>
      <w:spacing w:before="100" w:beforeAutospacing="1" w:after="100" w:afterAutospacing="1"/>
      <w:jc w:val="center"/>
    </w:pPr>
    <w:rPr>
      <w:rFonts w:ascii="仿宋" w:hAnsi="仿宋" w:eastAsia="仿宋" w:cs="宋体"/>
      <w:color w:val="000000"/>
      <w:kern w:val="0"/>
      <w:sz w:val="20"/>
    </w:rPr>
  </w:style>
  <w:style w:type="paragraph" w:customStyle="1" w:styleId="637">
    <w:name w:val="999公式"/>
    <w:basedOn w:val="1"/>
    <w:qFormat/>
    <w:uiPriority w:val="0"/>
    <w:pPr>
      <w:keepNext/>
      <w:keepLines/>
      <w:widowControl w:val="0"/>
      <w:adjustRightInd w:val="0"/>
      <w:snapToGrid w:val="0"/>
      <w:spacing w:line="360" w:lineRule="auto"/>
      <w:ind w:firstLine="500" w:firstLineChars="500"/>
      <w:jc w:val="center"/>
    </w:pPr>
    <w:rPr>
      <w:bCs/>
      <w:kern w:val="44"/>
      <w:sz w:val="24"/>
      <w:szCs w:val="44"/>
    </w:rPr>
  </w:style>
  <w:style w:type="paragraph" w:customStyle="1" w:styleId="638">
    <w:name w:val="xl4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eastAsia="仿宋_GB2312" w:cs="宋体"/>
      <w:b/>
      <w:bCs/>
      <w:kern w:val="0"/>
      <w:sz w:val="16"/>
      <w:szCs w:val="16"/>
    </w:rPr>
  </w:style>
  <w:style w:type="paragraph" w:customStyle="1" w:styleId="639">
    <w:name w:val="正文标题3"/>
    <w:basedOn w:val="4"/>
    <w:qFormat/>
    <w:uiPriority w:val="0"/>
    <w:pPr>
      <w:widowControl w:val="0"/>
      <w:spacing w:before="0" w:after="0" w:line="500" w:lineRule="exact"/>
    </w:pPr>
    <w:rPr>
      <w:rFonts w:eastAsia="黑体"/>
      <w:sz w:val="30"/>
    </w:rPr>
  </w:style>
  <w:style w:type="paragraph" w:customStyle="1" w:styleId="640">
    <w:name w:val="Char5"/>
    <w:basedOn w:val="1"/>
    <w:qFormat/>
    <w:uiPriority w:val="0"/>
    <w:pPr>
      <w:tabs>
        <w:tab w:val="left" w:pos="1500"/>
      </w:tabs>
      <w:autoSpaceDE w:val="0"/>
      <w:autoSpaceDN w:val="0"/>
      <w:adjustRightInd w:val="0"/>
      <w:spacing w:line="360" w:lineRule="auto"/>
      <w:ind w:firstLine="200" w:firstLineChars="225"/>
      <w:jc w:val="left"/>
    </w:pPr>
    <w:rPr>
      <w:rFonts w:ascii="Tahoma" w:hAnsi="Tahoma" w:eastAsia="Times New Roman"/>
      <w:kern w:val="0"/>
      <w:sz w:val="24"/>
      <w:szCs w:val="24"/>
      <w:lang w:eastAsia="en-US"/>
    </w:rPr>
  </w:style>
  <w:style w:type="paragraph" w:customStyle="1" w:styleId="641">
    <w:name w:val="Char Char1 Char"/>
    <w:basedOn w:val="1"/>
    <w:qFormat/>
    <w:uiPriority w:val="0"/>
    <w:pPr>
      <w:widowControl w:val="0"/>
      <w:adjustRightInd w:val="0"/>
      <w:snapToGrid w:val="0"/>
      <w:spacing w:line="360" w:lineRule="auto"/>
      <w:jc w:val="left"/>
    </w:pPr>
    <w:rPr>
      <w:rFonts w:ascii="宋体" w:hAnsi="宋体" w:cs="宋体"/>
      <w:b/>
      <w:sz w:val="28"/>
      <w:szCs w:val="24"/>
    </w:rPr>
  </w:style>
  <w:style w:type="paragraph" w:customStyle="1" w:styleId="642">
    <w:name w:val="font20"/>
    <w:basedOn w:val="1"/>
    <w:qFormat/>
    <w:uiPriority w:val="0"/>
    <w:pPr>
      <w:spacing w:before="100" w:beforeAutospacing="1" w:after="100" w:afterAutospacing="1"/>
      <w:jc w:val="left"/>
    </w:pPr>
    <w:rPr>
      <w:rFonts w:ascii="宋体" w:hAnsi="宋体" w:cs="宋体"/>
      <w:kern w:val="0"/>
      <w:sz w:val="20"/>
    </w:rPr>
  </w:style>
  <w:style w:type="paragraph" w:customStyle="1" w:styleId="643">
    <w:name w:val="xl6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Cs w:val="21"/>
    </w:rPr>
  </w:style>
  <w:style w:type="paragraph" w:customStyle="1" w:styleId="644">
    <w:name w:val="条文内容"/>
    <w:basedOn w:val="1"/>
    <w:qFormat/>
    <w:uiPriority w:val="0"/>
    <w:pPr>
      <w:widowControl w:val="0"/>
      <w:ind w:right="25" w:rightChars="12"/>
    </w:pPr>
    <w:rPr>
      <w:rFonts w:ascii="宋体" w:eastAsia="仿宋_GB2312"/>
      <w:sz w:val="24"/>
      <w:szCs w:val="24"/>
    </w:rPr>
  </w:style>
  <w:style w:type="paragraph" w:customStyle="1" w:styleId="645">
    <w:name w:val="xl12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646">
    <w:name w:val="Char Char Char1 Char Char Char1 Char Char Char Char Char Char1 Char Char Char1 Char"/>
    <w:basedOn w:val="1"/>
    <w:qFormat/>
    <w:uiPriority w:val="0"/>
    <w:pPr>
      <w:widowControl w:val="0"/>
      <w:spacing w:line="360" w:lineRule="auto"/>
    </w:pPr>
    <w:rPr>
      <w:rFonts w:ascii="Calibri" w:hAnsi="Calibri"/>
      <w:szCs w:val="24"/>
    </w:rPr>
  </w:style>
  <w:style w:type="paragraph" w:customStyle="1" w:styleId="647">
    <w:name w:val="pic-name"/>
    <w:basedOn w:val="1"/>
    <w:qFormat/>
    <w:uiPriority w:val="0"/>
    <w:pPr>
      <w:widowControl w:val="0"/>
      <w:spacing w:afterLines="100"/>
      <w:jc w:val="center"/>
    </w:pPr>
    <w:rPr>
      <w:rFonts w:eastAsia="黑体"/>
      <w:b/>
      <w:sz w:val="24"/>
      <w:szCs w:val="24"/>
    </w:rPr>
  </w:style>
  <w:style w:type="paragraph" w:customStyle="1" w:styleId="648">
    <w:name w:val="正文缩进41"/>
    <w:basedOn w:val="1"/>
    <w:qFormat/>
    <w:uiPriority w:val="0"/>
    <w:pPr>
      <w:widowControl w:val="0"/>
      <w:ind w:firstLine="420" w:firstLineChars="200"/>
    </w:pPr>
    <w:rPr>
      <w:szCs w:val="24"/>
    </w:rPr>
  </w:style>
  <w:style w:type="paragraph" w:customStyle="1" w:styleId="649">
    <w:name w:val="正文缩进42"/>
    <w:basedOn w:val="1"/>
    <w:qFormat/>
    <w:uiPriority w:val="0"/>
    <w:pPr>
      <w:widowControl w:val="0"/>
      <w:ind w:firstLine="420" w:firstLineChars="200"/>
    </w:pPr>
    <w:rPr>
      <w:rFonts w:eastAsia="仿宋_GB2312"/>
      <w:sz w:val="24"/>
      <w:szCs w:val="24"/>
    </w:rPr>
  </w:style>
  <w:style w:type="paragraph" w:customStyle="1" w:styleId="650">
    <w:name w:val="列出段落11"/>
    <w:basedOn w:val="1"/>
    <w:qFormat/>
    <w:uiPriority w:val="0"/>
    <w:pPr>
      <w:widowControl w:val="0"/>
      <w:ind w:firstLine="420" w:firstLineChars="200"/>
    </w:pPr>
    <w:rPr>
      <w:rFonts w:ascii="Calibri" w:hAnsi="Calibri" w:eastAsia="仿宋_GB2312"/>
      <w:sz w:val="24"/>
      <w:szCs w:val="22"/>
    </w:rPr>
  </w:style>
  <w:style w:type="paragraph" w:customStyle="1" w:styleId="651">
    <w:name w:val="标题四"/>
    <w:basedOn w:val="4"/>
    <w:qFormat/>
    <w:uiPriority w:val="0"/>
    <w:pPr>
      <w:widowControl w:val="0"/>
      <w:tabs>
        <w:tab w:val="left" w:pos="425"/>
      </w:tabs>
      <w:spacing w:before="120" w:after="0" w:line="360" w:lineRule="auto"/>
    </w:pPr>
    <w:rPr>
      <w:sz w:val="30"/>
      <w:szCs w:val="30"/>
    </w:rPr>
  </w:style>
  <w:style w:type="paragraph" w:customStyle="1" w:styleId="652">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rPr>
  </w:style>
  <w:style w:type="paragraph" w:customStyle="1" w:styleId="653">
    <w:name w:val="et21"/>
    <w:basedOn w:val="1"/>
    <w:qFormat/>
    <w:uiPriority w:val="0"/>
    <w:pPr>
      <w:pBdr>
        <w:top w:val="single" w:color="000000" w:sz="4" w:space="0"/>
        <w:left w:val="single" w:color="000000" w:sz="4" w:space="0"/>
        <w:bottom w:val="single" w:color="000000" w:sz="12" w:space="0"/>
        <w:right w:val="single" w:color="000000" w:sz="4" w:space="0"/>
      </w:pBdr>
      <w:spacing w:before="100" w:beforeAutospacing="1" w:after="100" w:afterAutospacing="1"/>
      <w:jc w:val="center"/>
      <w:textAlignment w:val="center"/>
    </w:pPr>
    <w:rPr>
      <w:rFonts w:ascii="宋体" w:hAnsi="宋体" w:cs="宋体"/>
      <w:color w:val="000000"/>
      <w:kern w:val="0"/>
      <w:sz w:val="20"/>
    </w:rPr>
  </w:style>
  <w:style w:type="paragraph" w:customStyle="1" w:styleId="654">
    <w:name w:val="xl5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Cs w:val="21"/>
    </w:rPr>
  </w:style>
  <w:style w:type="paragraph" w:customStyle="1" w:styleId="655">
    <w:name w:val="样式 正文文本 + Times New Roman 五号 行距: 单倍行距"/>
    <w:basedOn w:val="26"/>
    <w:qFormat/>
    <w:uiPriority w:val="0"/>
    <w:pPr>
      <w:widowControl w:val="0"/>
      <w:adjustRightInd w:val="0"/>
      <w:snapToGrid w:val="0"/>
      <w:spacing w:after="0" w:line="360" w:lineRule="auto"/>
      <w:ind w:firstLine="560" w:firstLineChars="200"/>
    </w:pPr>
    <w:rPr>
      <w:rFonts w:ascii="Calibri" w:hAnsi="宋体"/>
      <w:sz w:val="28"/>
      <w:szCs w:val="28"/>
    </w:rPr>
  </w:style>
  <w:style w:type="paragraph" w:customStyle="1" w:styleId="656">
    <w:name w:val="正文信息样式-首行缩进 Char Char Char Char Char"/>
    <w:basedOn w:val="1"/>
    <w:qFormat/>
    <w:uiPriority w:val="0"/>
    <w:pPr>
      <w:widowControl w:val="0"/>
      <w:spacing w:line="360" w:lineRule="auto"/>
      <w:ind w:firstLine="200" w:firstLineChars="200"/>
    </w:pPr>
    <w:rPr>
      <w:rFonts w:eastAsia="仿宋_GB2312"/>
      <w:sz w:val="24"/>
      <w:szCs w:val="24"/>
    </w:rPr>
  </w:style>
  <w:style w:type="paragraph" w:customStyle="1" w:styleId="657">
    <w:name w:val="正文标2"/>
    <w:basedOn w:val="3"/>
    <w:next w:val="99"/>
    <w:qFormat/>
    <w:uiPriority w:val="0"/>
    <w:pPr>
      <w:widowControl w:val="0"/>
      <w:spacing w:before="0" w:after="0" w:line="360" w:lineRule="auto"/>
      <w:jc w:val="center"/>
    </w:pPr>
    <w:rPr>
      <w:rFonts w:ascii="Arial" w:hAnsi="Arial" w:eastAsia="仿宋_GB2312"/>
      <w:b w:val="0"/>
      <w:bCs w:val="0"/>
      <w:sz w:val="28"/>
    </w:rPr>
  </w:style>
  <w:style w:type="paragraph" w:customStyle="1" w:styleId="658">
    <w:name w:val="Char Char Char2"/>
    <w:basedOn w:val="1"/>
    <w:qFormat/>
    <w:uiPriority w:val="0"/>
    <w:pPr>
      <w:spacing w:after="160" w:line="240" w:lineRule="exact"/>
      <w:ind w:firstLine="200" w:firstLineChars="200"/>
      <w:jc w:val="left"/>
    </w:pPr>
    <w:rPr>
      <w:rFonts w:ascii="Verdana" w:hAnsi="Verdana" w:eastAsia="仿宋_GB2312"/>
      <w:kern w:val="0"/>
      <w:sz w:val="28"/>
      <w:lang w:val="en-GB" w:eastAsia="en-US"/>
    </w:rPr>
  </w:style>
  <w:style w:type="paragraph" w:customStyle="1" w:styleId="659">
    <w:name w:val="et22"/>
    <w:basedOn w:val="1"/>
    <w:qFormat/>
    <w:uiPriority w:val="0"/>
    <w:pPr>
      <w:pBdr>
        <w:top w:val="single" w:color="000000" w:sz="4" w:space="0"/>
        <w:left w:val="single" w:color="000000" w:sz="4" w:space="0"/>
        <w:bottom w:val="single" w:color="000000" w:sz="12" w:space="0"/>
        <w:right w:val="single" w:color="000000" w:sz="4" w:space="0"/>
      </w:pBdr>
      <w:spacing w:before="100" w:beforeAutospacing="1" w:after="100" w:afterAutospacing="1"/>
      <w:jc w:val="center"/>
      <w:textAlignment w:val="center"/>
    </w:pPr>
    <w:rPr>
      <w:rFonts w:ascii="宋体" w:hAnsi="宋体" w:cs="宋体"/>
      <w:color w:val="000000"/>
      <w:kern w:val="0"/>
      <w:sz w:val="20"/>
    </w:rPr>
  </w:style>
  <w:style w:type="paragraph" w:customStyle="1" w:styleId="660">
    <w:name w:val="WPS Plain"/>
    <w:qFormat/>
    <w:uiPriority w:val="0"/>
    <w:rPr>
      <w:rFonts w:ascii="Times New Roman" w:hAnsi="Times New Roman" w:eastAsia="宋体" w:cs="Times New Roman"/>
      <w:lang w:val="en-US" w:eastAsia="zh-CN" w:bidi="ar-SA"/>
    </w:rPr>
  </w:style>
  <w:style w:type="paragraph" w:customStyle="1" w:styleId="661">
    <w:name w:val="xl3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仿宋_GB2312" w:cs="宋体"/>
      <w:kern w:val="0"/>
      <w:sz w:val="24"/>
      <w:szCs w:val="24"/>
    </w:rPr>
  </w:style>
  <w:style w:type="paragraph" w:customStyle="1" w:styleId="662">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rPr>
  </w:style>
  <w:style w:type="paragraph" w:customStyle="1" w:styleId="663">
    <w:name w:val="图题注"/>
    <w:basedOn w:val="17"/>
    <w:qFormat/>
    <w:uiPriority w:val="0"/>
    <w:pPr>
      <w:adjustRightInd w:val="0"/>
      <w:snapToGrid w:val="0"/>
      <w:spacing w:before="60" w:after="120" w:line="240" w:lineRule="auto"/>
    </w:pPr>
    <w:rPr>
      <w:rFonts w:ascii="Times New Roman" w:hAnsi="Times New Roman"/>
      <w:b/>
    </w:rPr>
  </w:style>
  <w:style w:type="paragraph" w:customStyle="1" w:styleId="664">
    <w:name w:val="样式 paragraph-1 + (西文) Times New Roman (中文) 宋体 小四"/>
    <w:basedOn w:val="141"/>
    <w:qFormat/>
    <w:uiPriority w:val="0"/>
    <w:rPr>
      <w:rFonts w:ascii="Times New Roman" w:hAnsi="Times New Roman"/>
      <w:sz w:val="24"/>
    </w:rPr>
  </w:style>
  <w:style w:type="paragraph" w:customStyle="1" w:styleId="665">
    <w:name w:val="列出段落3"/>
    <w:basedOn w:val="1"/>
    <w:qFormat/>
    <w:uiPriority w:val="0"/>
    <w:pPr>
      <w:widowControl w:val="0"/>
      <w:ind w:firstLine="420" w:firstLineChars="200"/>
    </w:pPr>
    <w:rPr>
      <w:rFonts w:ascii="Calibri" w:hAnsi="Calibri"/>
      <w:szCs w:val="22"/>
    </w:rPr>
  </w:style>
  <w:style w:type="paragraph" w:customStyle="1" w:styleId="666">
    <w:name w:val="et13"/>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color w:val="000000"/>
      <w:kern w:val="0"/>
      <w:sz w:val="20"/>
    </w:rPr>
  </w:style>
  <w:style w:type="paragraph" w:customStyle="1" w:styleId="667">
    <w:name w:val="Char Char Char Char Char Char Char Char Char Char"/>
    <w:basedOn w:val="1"/>
    <w:qFormat/>
    <w:uiPriority w:val="0"/>
    <w:pPr>
      <w:widowControl w:val="0"/>
      <w:tabs>
        <w:tab w:val="left" w:pos="360"/>
        <w:tab w:val="left" w:pos="1280"/>
      </w:tabs>
    </w:pPr>
    <w:rPr>
      <w:rFonts w:ascii="Tahoma" w:hAnsi="Tahoma"/>
      <w:sz w:val="24"/>
    </w:rPr>
  </w:style>
  <w:style w:type="paragraph" w:customStyle="1" w:styleId="668">
    <w:name w:val="样式 正文首行缩进 + 首行缩进:  2 字符 段后: 7.8 磅"/>
    <w:basedOn w:val="1"/>
    <w:qFormat/>
    <w:uiPriority w:val="0"/>
    <w:pPr>
      <w:widowControl w:val="0"/>
      <w:spacing w:line="360" w:lineRule="auto"/>
      <w:ind w:firstLine="200" w:firstLineChars="200"/>
    </w:pPr>
    <w:rPr>
      <w:rFonts w:eastAsia="仿宋_GB2312"/>
      <w:sz w:val="24"/>
    </w:rPr>
  </w:style>
  <w:style w:type="paragraph" w:customStyle="1" w:styleId="669">
    <w:name w:val="Char3"/>
    <w:basedOn w:val="1"/>
    <w:qFormat/>
    <w:uiPriority w:val="99"/>
    <w:pPr>
      <w:widowControl w:val="0"/>
      <w:tabs>
        <w:tab w:val="left" w:pos="890"/>
      </w:tabs>
    </w:pPr>
    <w:rPr>
      <w:rFonts w:ascii="Tahoma" w:hAnsi="Tahoma"/>
      <w:sz w:val="24"/>
    </w:rPr>
  </w:style>
  <w:style w:type="paragraph" w:customStyle="1" w:styleId="670">
    <w:name w:val="List Bullet0"/>
    <w:basedOn w:val="381"/>
    <w:qFormat/>
    <w:uiPriority w:val="0"/>
    <w:pPr>
      <w:tabs>
        <w:tab w:val="left" w:pos="720"/>
        <w:tab w:val="clear" w:pos="960"/>
      </w:tabs>
      <w:spacing w:before="0" w:after="0"/>
      <w:ind w:left="720" w:right="113" w:hanging="360"/>
    </w:pPr>
  </w:style>
  <w:style w:type="paragraph" w:customStyle="1" w:styleId="671">
    <w:name w:val="样式 黑体 四号 行距: 最小值 19.3 磅"/>
    <w:basedOn w:val="1"/>
    <w:next w:val="4"/>
    <w:qFormat/>
    <w:uiPriority w:val="0"/>
    <w:pPr>
      <w:widowControl w:val="0"/>
      <w:spacing w:line="560" w:lineRule="exact"/>
    </w:pPr>
    <w:rPr>
      <w:rFonts w:ascii="宋体" w:hAnsi="宋体" w:cs="宋体"/>
      <w:b/>
      <w:color w:val="000000"/>
      <w:kern w:val="0"/>
      <w:sz w:val="28"/>
      <w:szCs w:val="28"/>
    </w:rPr>
  </w:style>
  <w:style w:type="paragraph" w:customStyle="1" w:styleId="672">
    <w:name w:val="表格文字小号"/>
    <w:basedOn w:val="627"/>
    <w:qFormat/>
    <w:uiPriority w:val="0"/>
    <w:pPr>
      <w:tabs>
        <w:tab w:val="clear" w:pos="1500"/>
      </w:tabs>
      <w:autoSpaceDE/>
      <w:autoSpaceDN/>
      <w:adjustRightInd/>
      <w:jc w:val="center"/>
    </w:pPr>
    <w:rPr>
      <w:rFonts w:ascii="Times New Roman" w:hAnsi="Times New Roman" w:eastAsia="宋体"/>
      <w:sz w:val="18"/>
      <w:lang w:val="en-US"/>
    </w:rPr>
  </w:style>
  <w:style w:type="paragraph" w:customStyle="1" w:styleId="673">
    <w:name w:val="设计思想"/>
    <w:basedOn w:val="16"/>
    <w:qFormat/>
    <w:uiPriority w:val="0"/>
    <w:pPr>
      <w:widowControl/>
      <w:numPr>
        <w:numId w:val="0"/>
      </w:numPr>
      <w:tabs>
        <w:tab w:val="left" w:pos="1500"/>
      </w:tabs>
      <w:snapToGrid w:val="0"/>
      <w:spacing w:afterLines="50" w:line="360" w:lineRule="auto"/>
      <w:jc w:val="both"/>
      <w:textAlignment w:val="auto"/>
    </w:pPr>
    <w:rPr>
      <w:rFonts w:hAnsi="宋体" w:eastAsia="仿宋_GB2312"/>
      <w:bCs/>
      <w:kern w:val="2"/>
      <w:sz w:val="24"/>
    </w:rPr>
  </w:style>
  <w:style w:type="paragraph" w:customStyle="1" w:styleId="674">
    <w:name w:val="white"/>
    <w:basedOn w:val="1"/>
    <w:qFormat/>
    <w:uiPriority w:val="0"/>
    <w:pPr>
      <w:tabs>
        <w:tab w:val="left" w:pos="976"/>
      </w:tabs>
      <w:spacing w:before="100" w:beforeAutospacing="1" w:after="100" w:afterAutospacing="1"/>
      <w:ind w:left="976" w:hanging="420"/>
      <w:jc w:val="left"/>
    </w:pPr>
    <w:rPr>
      <w:rFonts w:ascii="Arial Unicode MS" w:hAnsi="Arial Unicode MS" w:eastAsia="仿宋_GB2312"/>
      <w:color w:val="FFFFFF"/>
      <w:kern w:val="0"/>
      <w:sz w:val="18"/>
      <w:szCs w:val="18"/>
    </w:rPr>
  </w:style>
  <w:style w:type="paragraph" w:customStyle="1" w:styleId="675">
    <w:name w:val="报告正文"/>
    <w:basedOn w:val="1"/>
    <w:qFormat/>
    <w:uiPriority w:val="0"/>
    <w:pPr>
      <w:widowControl w:val="0"/>
      <w:spacing w:line="560" w:lineRule="exact"/>
      <w:ind w:firstLine="200" w:firstLineChars="200"/>
    </w:pPr>
    <w:rPr>
      <w:kern w:val="0"/>
      <w:sz w:val="28"/>
      <w:szCs w:val="24"/>
    </w:rPr>
  </w:style>
  <w:style w:type="paragraph" w:customStyle="1" w:styleId="676">
    <w:name w:val="B英文表"/>
    <w:basedOn w:val="1"/>
    <w:qFormat/>
    <w:uiPriority w:val="0"/>
    <w:pPr>
      <w:widowControl w:val="0"/>
      <w:spacing w:line="360" w:lineRule="exact"/>
      <w:ind w:firstLine="361" w:firstLineChars="200"/>
      <w:jc w:val="center"/>
    </w:pPr>
    <w:rPr>
      <w:b/>
      <w:sz w:val="18"/>
      <w:szCs w:val="24"/>
    </w:rPr>
  </w:style>
  <w:style w:type="paragraph" w:customStyle="1" w:styleId="677">
    <w:name w:val="xl4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仿宋_GB2312" w:cs="宋体"/>
      <w:kern w:val="0"/>
      <w:sz w:val="24"/>
      <w:szCs w:val="24"/>
    </w:rPr>
  </w:style>
  <w:style w:type="paragraph" w:customStyle="1" w:styleId="678">
    <w:name w:val="hj style2 style35"/>
    <w:basedOn w:val="1"/>
    <w:qFormat/>
    <w:uiPriority w:val="0"/>
    <w:pPr>
      <w:tabs>
        <w:tab w:val="left" w:pos="1500"/>
      </w:tabs>
      <w:autoSpaceDE w:val="0"/>
      <w:autoSpaceDN w:val="0"/>
      <w:adjustRightInd w:val="0"/>
      <w:spacing w:before="100" w:beforeAutospacing="1" w:after="100" w:afterAutospacing="1"/>
      <w:jc w:val="left"/>
    </w:pPr>
    <w:rPr>
      <w:rFonts w:ascii="宋体" w:hAnsi="宋体" w:eastAsia="仿宋_GB2312" w:cs="宋体"/>
      <w:kern w:val="0"/>
      <w:sz w:val="24"/>
      <w:szCs w:val="24"/>
    </w:rPr>
  </w:style>
  <w:style w:type="paragraph" w:customStyle="1" w:styleId="679">
    <w:name w:val="图"/>
    <w:basedOn w:val="1"/>
    <w:qFormat/>
    <w:uiPriority w:val="0"/>
    <w:pPr>
      <w:tabs>
        <w:tab w:val="left" w:pos="1500"/>
      </w:tabs>
      <w:autoSpaceDE w:val="0"/>
      <w:autoSpaceDN w:val="0"/>
      <w:adjustRightInd w:val="0"/>
      <w:snapToGrid w:val="0"/>
      <w:spacing w:afterLines="50" w:line="360" w:lineRule="auto"/>
      <w:ind w:firstLine="540" w:firstLineChars="225"/>
      <w:jc w:val="center"/>
    </w:pPr>
    <w:rPr>
      <w:rFonts w:ascii="宋体" w:hAnsi="宋体" w:eastAsia="仿宋_GB2312"/>
      <w:bCs/>
      <w:sz w:val="24"/>
      <w:szCs w:val="24"/>
    </w:rPr>
  </w:style>
  <w:style w:type="paragraph" w:customStyle="1" w:styleId="680">
    <w:name w:val="xl9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仿宋_GB2312" w:cs="宋体"/>
      <w:kern w:val="0"/>
      <w:sz w:val="20"/>
    </w:rPr>
  </w:style>
  <w:style w:type="paragraph" w:customStyle="1" w:styleId="681">
    <w:name w:val="et46"/>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right"/>
      <w:textAlignment w:val="center"/>
    </w:pPr>
    <w:rPr>
      <w:rFonts w:ascii="宋体" w:hAnsi="宋体" w:cs="宋体"/>
      <w:b/>
      <w:bCs/>
      <w:color w:val="FF0000"/>
      <w:kern w:val="0"/>
      <w:sz w:val="20"/>
    </w:rPr>
  </w:style>
  <w:style w:type="paragraph" w:customStyle="1" w:styleId="682">
    <w:name w:val="样式 标题 2 + 段前: 0.5 行"/>
    <w:basedOn w:val="3"/>
    <w:qFormat/>
    <w:uiPriority w:val="0"/>
    <w:pPr>
      <w:widowControl w:val="0"/>
      <w:spacing w:before="0" w:after="0" w:line="360" w:lineRule="auto"/>
      <w:jc w:val="left"/>
    </w:pPr>
    <w:rPr>
      <w:rFonts w:ascii="Times New Roman" w:hAnsi="Times New Roman" w:cs="宋体"/>
      <w:b w:val="0"/>
      <w:bCs w:val="0"/>
      <w:sz w:val="30"/>
      <w:szCs w:val="20"/>
    </w:rPr>
  </w:style>
  <w:style w:type="paragraph" w:customStyle="1" w:styleId="683">
    <w:name w:val="样式 正文Alt+ctrl+Z + 首行缩进:  2 字符7"/>
    <w:basedOn w:val="1"/>
    <w:qFormat/>
    <w:uiPriority w:val="0"/>
    <w:pPr>
      <w:widowControl w:val="0"/>
      <w:spacing w:afterLines="50" w:line="360" w:lineRule="auto"/>
      <w:ind w:firstLine="200" w:firstLineChars="200"/>
    </w:pPr>
    <w:rPr>
      <w:rFonts w:eastAsia="仿宋_GB2312" w:cs="宋体"/>
      <w:sz w:val="24"/>
    </w:rPr>
  </w:style>
  <w:style w:type="paragraph" w:customStyle="1" w:styleId="684">
    <w:name w:val="！题注"/>
    <w:basedOn w:val="1"/>
    <w:qFormat/>
    <w:uiPriority w:val="0"/>
    <w:pPr>
      <w:keepNext/>
      <w:widowControl w:val="0"/>
      <w:spacing w:before="120" w:afterLines="50"/>
      <w:ind w:firstLine="360" w:firstLineChars="200"/>
      <w:jc w:val="center"/>
    </w:pPr>
    <w:rPr>
      <w:rFonts w:eastAsia="仿宋_GB2312" w:cs="宋体"/>
      <w:bCs/>
      <w:color w:val="000000"/>
      <w:kern w:val="0"/>
      <w:sz w:val="18"/>
      <w:szCs w:val="18"/>
      <w:bdr w:val="single" w:color="C6D9F1" w:sz="4" w:space="0"/>
    </w:rPr>
  </w:style>
  <w:style w:type="paragraph" w:customStyle="1" w:styleId="685">
    <w:name w:val="Item List"/>
    <w:qFormat/>
    <w:uiPriority w:val="0"/>
    <w:pPr>
      <w:tabs>
        <w:tab w:val="left" w:pos="1644"/>
      </w:tabs>
      <w:spacing w:line="300" w:lineRule="auto"/>
      <w:ind w:left="1644" w:hanging="510"/>
      <w:jc w:val="both"/>
    </w:pPr>
    <w:rPr>
      <w:rFonts w:ascii="Arial" w:hAnsi="Arial" w:eastAsia="宋体" w:cs="Arial"/>
      <w:sz w:val="21"/>
      <w:szCs w:val="21"/>
      <w:lang w:val="en-US" w:eastAsia="zh-CN" w:bidi="ar-SA"/>
    </w:rPr>
  </w:style>
  <w:style w:type="paragraph" w:customStyle="1" w:styleId="686">
    <w:name w:val="正文项目"/>
    <w:basedOn w:val="1"/>
    <w:qFormat/>
    <w:uiPriority w:val="0"/>
    <w:pPr>
      <w:tabs>
        <w:tab w:val="left" w:pos="1500"/>
      </w:tabs>
      <w:autoSpaceDE w:val="0"/>
      <w:autoSpaceDN w:val="0"/>
      <w:adjustRightInd w:val="0"/>
      <w:snapToGrid w:val="0"/>
      <w:spacing w:afterLines="30" w:line="360" w:lineRule="auto"/>
      <w:ind w:firstLine="540" w:firstLineChars="225"/>
    </w:pPr>
    <w:rPr>
      <w:rFonts w:ascii="宋体" w:hAnsi="宋体" w:eastAsia="仿宋_GB2312"/>
      <w:bCs/>
      <w:sz w:val="24"/>
      <w:szCs w:val="24"/>
    </w:rPr>
  </w:style>
  <w:style w:type="paragraph" w:customStyle="1" w:styleId="687">
    <w:name w:val="正  文"/>
    <w:basedOn w:val="1"/>
    <w:qFormat/>
    <w:uiPriority w:val="0"/>
    <w:pPr>
      <w:widowControl w:val="0"/>
      <w:spacing w:line="360" w:lineRule="auto"/>
      <w:ind w:firstLine="200" w:firstLineChars="200"/>
    </w:pPr>
    <w:rPr>
      <w:rFonts w:ascii="宋体" w:eastAsia="仿宋_GB2312"/>
      <w:sz w:val="24"/>
      <w:szCs w:val="24"/>
    </w:rPr>
  </w:style>
  <w:style w:type="paragraph" w:customStyle="1" w:styleId="688">
    <w:name w:val="样式 正文1 + 左侧:  1 字符2"/>
    <w:basedOn w:val="99"/>
    <w:qFormat/>
    <w:uiPriority w:val="0"/>
    <w:pPr>
      <w:keepNext/>
      <w:keepLines/>
      <w:tabs>
        <w:tab w:val="clear" w:pos="2160"/>
      </w:tabs>
      <w:adjustRightInd/>
      <w:spacing w:line="360" w:lineRule="auto"/>
      <w:ind w:firstLine="560" w:firstLineChars="200"/>
      <w:jc w:val="both"/>
      <w:textAlignment w:val="auto"/>
    </w:pPr>
    <w:rPr>
      <w:rFonts w:ascii="Times New Roman" w:eastAsia="宋体" w:cs="宋体"/>
      <w:kern w:val="2"/>
      <w:sz w:val="24"/>
    </w:rPr>
  </w:style>
  <w:style w:type="paragraph" w:customStyle="1" w:styleId="689">
    <w:name w:val="_Style 590"/>
    <w:next w:val="1"/>
    <w:qFormat/>
    <w:uiPriority w:val="0"/>
    <w:pPr>
      <w:widowControl w:val="0"/>
      <w:spacing w:line="360" w:lineRule="auto"/>
      <w:jc w:val="both"/>
    </w:pPr>
    <w:rPr>
      <w:rFonts w:ascii="Times New Roman" w:hAnsi="Times New Roman" w:eastAsia="仿宋_GB2312" w:cs="Times New Roman"/>
      <w:kern w:val="2"/>
      <w:sz w:val="28"/>
      <w:szCs w:val="24"/>
      <w:lang w:val="en-US" w:eastAsia="zh-CN" w:bidi="ar-SA"/>
    </w:rPr>
  </w:style>
  <w:style w:type="paragraph" w:customStyle="1" w:styleId="690">
    <w:name w:val="et10"/>
    <w:basedOn w:val="1"/>
    <w:qFormat/>
    <w:uiPriority w:val="0"/>
    <w:pPr>
      <w:pBdr>
        <w:top w:val="single" w:color="000000" w:sz="4" w:space="0"/>
        <w:left w:val="single" w:color="000000" w:sz="12" w:space="0"/>
        <w:bottom w:val="single" w:color="000000" w:sz="4" w:space="0"/>
        <w:right w:val="single" w:color="000000" w:sz="4" w:space="0"/>
      </w:pBdr>
      <w:spacing w:before="100" w:beforeAutospacing="1" w:after="100" w:afterAutospacing="1"/>
      <w:jc w:val="center"/>
      <w:textAlignment w:val="center"/>
    </w:pPr>
    <w:rPr>
      <w:rFonts w:ascii="宋体" w:hAnsi="宋体" w:cs="宋体"/>
      <w:color w:val="000000"/>
      <w:kern w:val="0"/>
      <w:sz w:val="20"/>
    </w:rPr>
  </w:style>
  <w:style w:type="paragraph" w:customStyle="1" w:styleId="691">
    <w:name w:val="Char Char Char Char Char Char Char Char Char Char Char Char1 Char Char Char Char Char Char Char Char Char Char Char Char"/>
    <w:basedOn w:val="20"/>
    <w:qFormat/>
    <w:uiPriority w:val="0"/>
    <w:pPr>
      <w:widowControl w:val="0"/>
      <w:shd w:val="clear" w:color="auto" w:fill="000080"/>
    </w:pPr>
    <w:rPr>
      <w:rFonts w:ascii="Times New Roman" w:eastAsia="仿宋_GB2312"/>
      <w:kern w:val="0"/>
      <w:sz w:val="24"/>
      <w:szCs w:val="24"/>
      <w:shd w:val="clear" w:color="auto" w:fill="000080"/>
    </w:rPr>
  </w:style>
  <w:style w:type="paragraph" w:customStyle="1" w:styleId="692">
    <w:name w:val="样式 小四 行距: 1.5 倍行距"/>
    <w:basedOn w:val="1"/>
    <w:qFormat/>
    <w:uiPriority w:val="0"/>
    <w:pPr>
      <w:widowControl w:val="0"/>
      <w:adjustRightInd w:val="0"/>
      <w:spacing w:line="360" w:lineRule="auto"/>
      <w:ind w:firstLine="480" w:firstLineChars="200"/>
      <w:textAlignment w:val="baseline"/>
    </w:pPr>
    <w:rPr>
      <w:rFonts w:eastAsia="仿宋_GB2312" w:cs="宋体"/>
      <w:sz w:val="28"/>
      <w:szCs w:val="28"/>
    </w:rPr>
  </w:style>
  <w:style w:type="paragraph" w:customStyle="1" w:styleId="693">
    <w:name w:val="xl6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Cs w:val="21"/>
    </w:rPr>
  </w:style>
  <w:style w:type="paragraph" w:customStyle="1" w:styleId="694">
    <w:name w:val="_Style 34"/>
    <w:qFormat/>
    <w:uiPriority w:val="0"/>
    <w:pPr>
      <w:widowControl w:val="0"/>
      <w:spacing w:line="360" w:lineRule="auto"/>
      <w:jc w:val="both"/>
    </w:pPr>
    <w:rPr>
      <w:rFonts w:ascii="Times New Roman" w:hAnsi="Times New Roman" w:eastAsia="仿宋_GB2312" w:cs="Times New Roman"/>
      <w:kern w:val="2"/>
      <w:sz w:val="28"/>
      <w:szCs w:val="24"/>
      <w:lang w:val="en-US" w:eastAsia="zh-CN" w:bidi="ar-SA"/>
    </w:rPr>
  </w:style>
  <w:style w:type="paragraph" w:customStyle="1" w:styleId="695">
    <w:name w:val="et41"/>
    <w:basedOn w:val="1"/>
    <w:qFormat/>
    <w:uiPriority w:val="0"/>
    <w:pPr>
      <w:pBdr>
        <w:top w:val="single" w:color="000000" w:sz="12"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b/>
      <w:bCs/>
      <w:color w:val="000000"/>
      <w:kern w:val="0"/>
      <w:sz w:val="20"/>
    </w:rPr>
  </w:style>
  <w:style w:type="paragraph" w:customStyle="1" w:styleId="696">
    <w:name w:val="二级条标题"/>
    <w:basedOn w:val="697"/>
    <w:next w:val="1"/>
    <w:qFormat/>
    <w:uiPriority w:val="0"/>
    <w:pPr>
      <w:outlineLvl w:val="3"/>
    </w:pPr>
  </w:style>
  <w:style w:type="paragraph" w:customStyle="1" w:styleId="697">
    <w:name w:val="一级条标题"/>
    <w:basedOn w:val="698"/>
    <w:next w:val="1"/>
    <w:qFormat/>
    <w:uiPriority w:val="0"/>
    <w:pPr>
      <w:spacing w:before="0" w:after="0"/>
      <w:outlineLvl w:val="2"/>
    </w:pPr>
  </w:style>
  <w:style w:type="paragraph" w:customStyle="1" w:styleId="698">
    <w:name w:val="章标题"/>
    <w:next w:val="1"/>
    <w:qFormat/>
    <w:uiPriority w:val="0"/>
    <w:pPr>
      <w:spacing w:before="50" w:after="50"/>
      <w:ind w:left="360"/>
      <w:outlineLvl w:val="1"/>
    </w:pPr>
    <w:rPr>
      <w:rFonts w:ascii="黑体" w:hAnsi="Times New Roman" w:eastAsia="黑体" w:cs="Times New Roman"/>
      <w:sz w:val="24"/>
      <w:lang w:val="en-US" w:eastAsia="zh-CN" w:bidi="ar-SA"/>
    </w:rPr>
  </w:style>
  <w:style w:type="paragraph" w:customStyle="1" w:styleId="699">
    <w:name w:val="表格文字_居中"/>
    <w:basedOn w:val="627"/>
    <w:qFormat/>
    <w:uiPriority w:val="0"/>
    <w:pPr>
      <w:tabs>
        <w:tab w:val="clear" w:pos="1500"/>
      </w:tabs>
      <w:autoSpaceDE/>
      <w:autoSpaceDN/>
      <w:adjustRightInd/>
      <w:spacing w:line="360" w:lineRule="auto"/>
      <w:jc w:val="center"/>
    </w:pPr>
    <w:rPr>
      <w:rFonts w:ascii="Times New Roman" w:hAnsi="Times New Roman" w:eastAsia="宋体"/>
      <w:sz w:val="21"/>
      <w:lang w:val="en-US"/>
    </w:rPr>
  </w:style>
  <w:style w:type="paragraph" w:customStyle="1" w:styleId="700">
    <w:name w:val="图文(五号中)"/>
    <w:basedOn w:val="1"/>
    <w:qFormat/>
    <w:uiPriority w:val="0"/>
    <w:pPr>
      <w:widowControl w:val="0"/>
      <w:jc w:val="center"/>
    </w:pPr>
    <w:rPr>
      <w:rFonts w:eastAsia="仿宋_GB2312"/>
      <w:sz w:val="24"/>
      <w:szCs w:val="24"/>
    </w:rPr>
  </w:style>
  <w:style w:type="paragraph" w:customStyle="1" w:styleId="701">
    <w:name w:val="样式 标题 3 + 段前: 0.5 行 段后: 0.5 行1"/>
    <w:basedOn w:val="4"/>
    <w:qFormat/>
    <w:uiPriority w:val="0"/>
    <w:pPr>
      <w:widowControl w:val="0"/>
      <w:tabs>
        <w:tab w:val="left" w:pos="425"/>
      </w:tabs>
      <w:spacing w:before="120" w:after="0" w:line="360" w:lineRule="auto"/>
    </w:pPr>
    <w:rPr>
      <w:rFonts w:cs="宋体"/>
      <w:sz w:val="30"/>
      <w:szCs w:val="20"/>
    </w:rPr>
  </w:style>
  <w:style w:type="paragraph" w:customStyle="1" w:styleId="702">
    <w:name w:val="Char Char Char Char21"/>
    <w:basedOn w:val="1"/>
    <w:qFormat/>
    <w:uiPriority w:val="0"/>
    <w:pPr>
      <w:spacing w:after="160" w:line="240" w:lineRule="exact"/>
      <w:jc w:val="left"/>
    </w:pPr>
    <w:rPr>
      <w:rFonts w:ascii="Verdana" w:hAnsi="Verdana" w:eastAsia="仿宋_GB2312"/>
      <w:kern w:val="0"/>
      <w:sz w:val="20"/>
      <w:lang w:eastAsia="en-US"/>
    </w:rPr>
  </w:style>
  <w:style w:type="paragraph" w:customStyle="1" w:styleId="703">
    <w:name w:val="样式 标题 1章节h11heading 1TOCh1H1标书1Heading 01.123321PIM 1..."/>
    <w:basedOn w:val="2"/>
    <w:qFormat/>
    <w:uiPriority w:val="0"/>
    <w:pPr>
      <w:widowControl w:val="0"/>
      <w:tabs>
        <w:tab w:val="left" w:pos="432"/>
      </w:tabs>
      <w:spacing w:before="120" w:after="120" w:line="440" w:lineRule="atLeast"/>
      <w:ind w:left="432" w:hanging="432"/>
    </w:pPr>
    <w:rPr>
      <w:rFonts w:ascii="Calibri" w:hAnsi="Calibri" w:eastAsia="黑体" w:cs="宋体"/>
      <w:color w:val="333399"/>
      <w:kern w:val="2"/>
      <w:sz w:val="32"/>
    </w:rPr>
  </w:style>
  <w:style w:type="paragraph" w:customStyle="1" w:styleId="704">
    <w:name w:val="xl9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仿宋_GB2312" w:cs="宋体"/>
      <w:color w:val="000000"/>
      <w:kern w:val="0"/>
      <w:sz w:val="20"/>
    </w:rPr>
  </w:style>
  <w:style w:type="paragraph" w:customStyle="1" w:styleId="705">
    <w:name w:val="自定正文文本"/>
    <w:basedOn w:val="1"/>
    <w:qFormat/>
    <w:uiPriority w:val="0"/>
    <w:pPr>
      <w:widowControl w:val="0"/>
      <w:spacing w:line="360" w:lineRule="auto"/>
      <w:ind w:firstLine="520" w:firstLineChars="200"/>
    </w:pPr>
    <w:rPr>
      <w:rFonts w:ascii="Calibri" w:hAnsi="Calibri"/>
      <w:spacing w:val="10"/>
      <w:sz w:val="24"/>
      <w:szCs w:val="24"/>
    </w:rPr>
  </w:style>
  <w:style w:type="paragraph" w:customStyle="1" w:styleId="706">
    <w:name w:val="Char Char Char2 Char3"/>
    <w:basedOn w:val="1"/>
    <w:qFormat/>
    <w:uiPriority w:val="0"/>
    <w:pPr>
      <w:keepNext/>
      <w:keepLines/>
      <w:widowControl w:val="0"/>
      <w:tabs>
        <w:tab w:val="left" w:pos="856"/>
      </w:tabs>
      <w:ind w:left="856" w:firstLine="560" w:firstLineChars="200"/>
    </w:pPr>
    <w:rPr>
      <w:rFonts w:ascii="Tahoma" w:hAnsi="Tahoma" w:eastAsia="仿宋_GB2312"/>
      <w:sz w:val="24"/>
      <w:szCs w:val="28"/>
    </w:rPr>
  </w:style>
  <w:style w:type="paragraph" w:customStyle="1" w:styleId="707">
    <w:name w:val="注意"/>
    <w:basedOn w:val="1"/>
    <w:qFormat/>
    <w:uiPriority w:val="0"/>
    <w:pPr>
      <w:widowControl w:val="0"/>
      <w:tabs>
        <w:tab w:val="left" w:pos="1500"/>
      </w:tabs>
      <w:autoSpaceDE w:val="0"/>
      <w:autoSpaceDN w:val="0"/>
      <w:adjustRightInd w:val="0"/>
      <w:spacing w:line="360" w:lineRule="auto"/>
      <w:ind w:left="643" w:hanging="643" w:hangingChars="306"/>
    </w:pPr>
    <w:rPr>
      <w:rFonts w:ascii="楷体_GB2312" w:eastAsia="楷体_GB2312"/>
      <w:sz w:val="24"/>
      <w:szCs w:val="24"/>
    </w:rPr>
  </w:style>
  <w:style w:type="paragraph" w:customStyle="1" w:styleId="708">
    <w:name w:val="xl4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eastAsia="仿宋_GB2312" w:cs="宋体"/>
      <w:kern w:val="0"/>
      <w:sz w:val="16"/>
      <w:szCs w:val="16"/>
    </w:rPr>
  </w:style>
  <w:style w:type="paragraph" w:customStyle="1" w:styleId="709">
    <w:name w:val="文档名称(前)"/>
    <w:basedOn w:val="1"/>
    <w:qFormat/>
    <w:uiPriority w:val="0"/>
    <w:pPr>
      <w:widowControl w:val="0"/>
      <w:snapToGrid w:val="0"/>
      <w:spacing w:line="520" w:lineRule="exact"/>
      <w:jc w:val="center"/>
    </w:pPr>
    <w:rPr>
      <w:rFonts w:eastAsia="黑体"/>
      <w:b/>
      <w:sz w:val="52"/>
    </w:rPr>
  </w:style>
  <w:style w:type="paragraph" w:customStyle="1" w:styleId="710">
    <w:name w:val="样式 正文Alt+ctrl+Z + 首行缩进:  2 字符8"/>
    <w:basedOn w:val="1"/>
    <w:qFormat/>
    <w:uiPriority w:val="0"/>
    <w:pPr>
      <w:widowControl w:val="0"/>
      <w:spacing w:afterLines="50" w:line="360" w:lineRule="auto"/>
      <w:ind w:firstLine="480" w:firstLineChars="200"/>
    </w:pPr>
    <w:rPr>
      <w:rFonts w:cs="宋体"/>
      <w:sz w:val="24"/>
    </w:rPr>
  </w:style>
  <w:style w:type="paragraph" w:customStyle="1" w:styleId="711">
    <w:name w:val="xl112"/>
    <w:basedOn w:val="1"/>
    <w:qFormat/>
    <w:uiPriority w:val="0"/>
    <w:pPr>
      <w:spacing w:before="100" w:beforeAutospacing="1" w:after="100" w:afterAutospacing="1"/>
      <w:jc w:val="center"/>
    </w:pPr>
    <w:rPr>
      <w:rFonts w:ascii="仿宋" w:hAnsi="仿宋" w:eastAsia="仿宋" w:cs="宋体"/>
      <w:kern w:val="0"/>
      <w:sz w:val="28"/>
      <w:szCs w:val="28"/>
    </w:rPr>
  </w:style>
  <w:style w:type="paragraph" w:customStyle="1" w:styleId="712">
    <w:name w:val="样式 正文缩进表正文正文非缩进段1特点正文不缩进正文缩进 Char特点 CharALT+Z水上软件首行缩进..."/>
    <w:basedOn w:val="16"/>
    <w:qFormat/>
    <w:uiPriority w:val="0"/>
    <w:pPr>
      <w:numPr>
        <w:ilvl w:val="0"/>
        <w:numId w:val="0"/>
      </w:numPr>
      <w:tabs>
        <w:tab w:val="left" w:pos="1500"/>
      </w:tabs>
      <w:adjustRightInd/>
      <w:spacing w:line="360" w:lineRule="auto"/>
      <w:ind w:firstLine="300" w:firstLineChars="300"/>
      <w:jc w:val="both"/>
      <w:textAlignment w:val="auto"/>
    </w:pPr>
    <w:rPr>
      <w:rFonts w:ascii="Times New Roman" w:eastAsia="仿宋_GB2312" w:cs="宋体"/>
      <w:kern w:val="2"/>
      <w:sz w:val="21"/>
    </w:rPr>
  </w:style>
  <w:style w:type="paragraph" w:customStyle="1" w:styleId="713">
    <w:name w:val="样式 样式 首行缩进:  0.74 厘米 行距: 1.5 倍行距 + 段后: 0.5 行"/>
    <w:basedOn w:val="1"/>
    <w:qFormat/>
    <w:uiPriority w:val="0"/>
    <w:pPr>
      <w:widowControl w:val="0"/>
      <w:spacing w:line="360" w:lineRule="auto"/>
      <w:ind w:firstLine="420"/>
    </w:pPr>
    <w:rPr>
      <w:rFonts w:eastAsia="仿宋_GB2312"/>
      <w:sz w:val="24"/>
    </w:rPr>
  </w:style>
  <w:style w:type="paragraph" w:customStyle="1" w:styleId="714">
    <w:name w:val="Char11"/>
    <w:basedOn w:val="1"/>
    <w:qFormat/>
    <w:uiPriority w:val="0"/>
    <w:pPr>
      <w:widowControl w:val="0"/>
    </w:pPr>
    <w:rPr>
      <w:rFonts w:ascii="Tahoma" w:hAnsi="Tahoma"/>
      <w:sz w:val="24"/>
    </w:rPr>
  </w:style>
  <w:style w:type="paragraph" w:customStyle="1" w:styleId="715">
    <w:name w:val="样式 段前: 0.5 行"/>
    <w:basedOn w:val="1"/>
    <w:qFormat/>
    <w:uiPriority w:val="0"/>
    <w:pPr>
      <w:widowControl w:val="0"/>
      <w:tabs>
        <w:tab w:val="left" w:pos="1500"/>
      </w:tabs>
      <w:autoSpaceDE w:val="0"/>
      <w:autoSpaceDN w:val="0"/>
      <w:adjustRightInd w:val="0"/>
      <w:spacing w:beforeLines="50"/>
    </w:pPr>
    <w:rPr>
      <w:rFonts w:ascii="ËÎÌå" w:hAnsi="ËÎÌå" w:eastAsia="仿宋_GB2312"/>
      <w:color w:val="000000"/>
      <w:kern w:val="0"/>
      <w:sz w:val="24"/>
    </w:rPr>
  </w:style>
  <w:style w:type="paragraph" w:customStyle="1" w:styleId="716">
    <w:name w:val="Char1 Char Char Char1"/>
    <w:basedOn w:val="1"/>
    <w:qFormat/>
    <w:uiPriority w:val="0"/>
    <w:pPr>
      <w:spacing w:after="160" w:line="240" w:lineRule="exact"/>
      <w:jc w:val="left"/>
    </w:pPr>
    <w:rPr>
      <w:rFonts w:ascii="Verdana" w:hAnsi="Verdana"/>
      <w:kern w:val="0"/>
      <w:sz w:val="20"/>
      <w:lang w:eastAsia="en-US"/>
    </w:rPr>
  </w:style>
  <w:style w:type="paragraph" w:customStyle="1" w:styleId="717">
    <w:name w:val="小标题1"/>
    <w:basedOn w:val="1"/>
    <w:next w:val="1"/>
    <w:qFormat/>
    <w:uiPriority w:val="0"/>
    <w:pPr>
      <w:widowControl w:val="0"/>
      <w:tabs>
        <w:tab w:val="left" w:pos="883"/>
        <w:tab w:val="left" w:pos="980"/>
      </w:tabs>
      <w:spacing w:beforeLines="50" w:afterLines="20"/>
      <w:ind w:left="883"/>
    </w:pPr>
    <w:rPr>
      <w:rFonts w:ascii="宋体" w:hAnsi="宋体" w:eastAsia="仿宋_GB2312" w:cs="宋体"/>
      <w:b/>
      <w:bCs/>
      <w:color w:val="0000FF"/>
      <w:sz w:val="24"/>
      <w:szCs w:val="21"/>
    </w:rPr>
  </w:style>
  <w:style w:type="paragraph" w:customStyle="1" w:styleId="718">
    <w:name w:val="标题样式"/>
    <w:basedOn w:val="1"/>
    <w:qFormat/>
    <w:uiPriority w:val="0"/>
    <w:pPr>
      <w:widowControl w:val="0"/>
      <w:tabs>
        <w:tab w:val="left" w:pos="420"/>
      </w:tabs>
      <w:spacing w:line="360" w:lineRule="auto"/>
    </w:pPr>
    <w:rPr>
      <w:rFonts w:ascii="宋体" w:hAnsi="宋体"/>
      <w:sz w:val="24"/>
      <w:szCs w:val="24"/>
    </w:rPr>
  </w:style>
  <w:style w:type="paragraph" w:customStyle="1" w:styleId="719">
    <w:name w:val="标题4"/>
    <w:basedOn w:val="38"/>
    <w:qFormat/>
    <w:uiPriority w:val="0"/>
    <w:pPr>
      <w:spacing w:after="0" w:line="360" w:lineRule="auto"/>
      <w:ind w:left="0" w:leftChars="0"/>
    </w:pPr>
    <w:rPr>
      <w:rFonts w:ascii="仿宋_GB2312" w:hAnsi="宋体" w:eastAsia="仿宋_GB2312"/>
      <w:b/>
      <w:bCs/>
      <w:sz w:val="28"/>
      <w:szCs w:val="28"/>
    </w:rPr>
  </w:style>
  <w:style w:type="paragraph" w:customStyle="1" w:styleId="720">
    <w:name w:val="页眉4"/>
    <w:basedOn w:val="1"/>
    <w:qFormat/>
    <w:uiPriority w:val="0"/>
    <w:pPr>
      <w:spacing w:before="100" w:beforeAutospacing="1" w:after="100" w:afterAutospacing="1" w:line="400" w:lineRule="atLeast"/>
      <w:jc w:val="left"/>
    </w:pPr>
    <w:rPr>
      <w:rFonts w:ascii="ˎ̥" w:hAnsi="ˎ̥" w:cs="宋体"/>
      <w:b/>
      <w:bCs/>
      <w:color w:val="4B9BE7"/>
      <w:kern w:val="0"/>
      <w:szCs w:val="21"/>
    </w:rPr>
  </w:style>
  <w:style w:type="paragraph" w:customStyle="1" w:styleId="721">
    <w:name w:val="文章标题"/>
    <w:basedOn w:val="1"/>
    <w:qFormat/>
    <w:uiPriority w:val="0"/>
    <w:pPr>
      <w:widowControl w:val="0"/>
    </w:pPr>
    <w:rPr>
      <w:rFonts w:ascii="宋体" w:hAnsi="宋体" w:eastAsia="仿宋_GB2312"/>
      <w:bCs/>
      <w:sz w:val="24"/>
      <w:szCs w:val="24"/>
    </w:rPr>
  </w:style>
  <w:style w:type="paragraph" w:customStyle="1" w:styleId="722">
    <w:name w:val="xl11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rPr>
  </w:style>
  <w:style w:type="paragraph" w:customStyle="1" w:styleId="723">
    <w:name w:val="xl11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8"/>
      <w:szCs w:val="28"/>
    </w:rPr>
  </w:style>
  <w:style w:type="paragraph" w:customStyle="1" w:styleId="724">
    <w:name w:val="样式 标题 2第一层条H2第二层论文标题 12nd levelh22Header 2l2Underrubri...1"/>
    <w:basedOn w:val="3"/>
    <w:qFormat/>
    <w:uiPriority w:val="0"/>
    <w:pPr>
      <w:widowControl w:val="0"/>
      <w:tabs>
        <w:tab w:val="left" w:pos="567"/>
      </w:tabs>
      <w:adjustRightInd w:val="0"/>
      <w:ind w:left="567" w:hanging="567"/>
    </w:pPr>
    <w:rPr>
      <w:rFonts w:ascii="Arial" w:hAnsi="Arial" w:eastAsia="仿宋_GB2312" w:cs="宋体"/>
      <w:b w:val="0"/>
      <w:bCs w:val="0"/>
      <w:sz w:val="30"/>
      <w:szCs w:val="20"/>
    </w:rPr>
  </w:style>
  <w:style w:type="paragraph" w:customStyle="1" w:styleId="725">
    <w:name w:val="xl7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20"/>
    </w:rPr>
  </w:style>
  <w:style w:type="paragraph" w:customStyle="1" w:styleId="726">
    <w:name w:val="文档名称"/>
    <w:basedOn w:val="1"/>
    <w:qFormat/>
    <w:uiPriority w:val="0"/>
    <w:pPr>
      <w:widowControl w:val="0"/>
      <w:snapToGrid w:val="0"/>
      <w:jc w:val="center"/>
    </w:pPr>
    <w:rPr>
      <w:rFonts w:eastAsia="黑体"/>
      <w:b/>
      <w:sz w:val="84"/>
    </w:rPr>
  </w:style>
  <w:style w:type="paragraph" w:customStyle="1" w:styleId="727">
    <w:name w:val="font6"/>
    <w:basedOn w:val="1"/>
    <w:qFormat/>
    <w:uiPriority w:val="0"/>
    <w:pPr>
      <w:spacing w:before="100" w:beforeAutospacing="1" w:after="100" w:afterAutospacing="1"/>
      <w:jc w:val="left"/>
    </w:pPr>
    <w:rPr>
      <w:rFonts w:ascii="宋体" w:hAnsi="宋体" w:cs="宋体"/>
      <w:kern w:val="0"/>
      <w:sz w:val="18"/>
      <w:szCs w:val="18"/>
    </w:rPr>
  </w:style>
  <w:style w:type="paragraph" w:customStyle="1" w:styleId="728">
    <w:name w:val="IBM 正文"/>
    <w:basedOn w:val="1"/>
    <w:qFormat/>
    <w:uiPriority w:val="0"/>
    <w:pPr>
      <w:tabs>
        <w:tab w:val="left" w:pos="1500"/>
      </w:tabs>
      <w:autoSpaceDE w:val="0"/>
      <w:autoSpaceDN w:val="0"/>
      <w:adjustRightInd w:val="0"/>
      <w:spacing w:line="360" w:lineRule="exact"/>
      <w:jc w:val="left"/>
    </w:pPr>
    <w:rPr>
      <w:rFonts w:eastAsia="仿宋_GB2312"/>
      <w:kern w:val="0"/>
      <w:sz w:val="24"/>
    </w:rPr>
  </w:style>
  <w:style w:type="paragraph" w:customStyle="1" w:styleId="729">
    <w:name w:val="et35"/>
    <w:basedOn w:val="1"/>
    <w:qFormat/>
    <w:uiPriority w:val="0"/>
    <w:pPr>
      <w:pBdr>
        <w:top w:val="single" w:color="000000" w:sz="4" w:space="0"/>
        <w:left w:val="single" w:color="000000" w:sz="4" w:space="0"/>
        <w:bottom w:val="single" w:color="000000" w:sz="12" w:space="0"/>
        <w:right w:val="single" w:color="000000" w:sz="4" w:space="0"/>
      </w:pBdr>
      <w:spacing w:before="100" w:beforeAutospacing="1" w:after="100" w:afterAutospacing="1"/>
      <w:jc w:val="center"/>
      <w:textAlignment w:val="center"/>
    </w:pPr>
    <w:rPr>
      <w:rFonts w:ascii="宋体" w:hAnsi="宋体" w:cs="宋体"/>
      <w:b/>
      <w:bCs/>
      <w:color w:val="000000"/>
      <w:kern w:val="0"/>
      <w:sz w:val="22"/>
      <w:szCs w:val="22"/>
    </w:rPr>
  </w:style>
  <w:style w:type="paragraph" w:customStyle="1" w:styleId="730">
    <w:name w:val="xl4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eastAsia="仿宋_GB2312"/>
      <w:b/>
      <w:bCs/>
      <w:kern w:val="0"/>
      <w:sz w:val="16"/>
      <w:szCs w:val="16"/>
    </w:rPr>
  </w:style>
  <w:style w:type="paragraph" w:customStyle="1" w:styleId="731">
    <w:name w:val="Char Char Char Char2"/>
    <w:basedOn w:val="1"/>
    <w:qFormat/>
    <w:uiPriority w:val="0"/>
    <w:pPr>
      <w:spacing w:after="160" w:line="240" w:lineRule="exact"/>
      <w:jc w:val="left"/>
    </w:pPr>
    <w:rPr>
      <w:rFonts w:ascii="Verdana" w:hAnsi="Verdana"/>
      <w:kern w:val="0"/>
      <w:sz w:val="20"/>
      <w:lang w:eastAsia="en-US"/>
    </w:rPr>
  </w:style>
  <w:style w:type="paragraph" w:customStyle="1" w:styleId="732">
    <w:name w:val="xl7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color w:val="000000"/>
      <w:kern w:val="0"/>
      <w:sz w:val="20"/>
    </w:rPr>
  </w:style>
  <w:style w:type="paragraph" w:customStyle="1" w:styleId="733">
    <w:name w:val="封面_日期"/>
    <w:qFormat/>
    <w:uiPriority w:val="0"/>
    <w:pPr>
      <w:jc w:val="center"/>
    </w:pPr>
    <w:rPr>
      <w:rFonts w:ascii="Times New Roman" w:hAnsi="Times New Roman" w:eastAsia="黑体" w:cs="Times New Roman"/>
      <w:kern w:val="2"/>
      <w:sz w:val="30"/>
      <w:szCs w:val="24"/>
      <w:lang w:val="en-US" w:eastAsia="zh-CN" w:bidi="ar-SA"/>
    </w:rPr>
  </w:style>
  <w:style w:type="paragraph" w:customStyle="1" w:styleId="734">
    <w:name w:val="样式 paragraph-1 + (西文) Times New Roman (中文) 宋体 小四1"/>
    <w:basedOn w:val="141"/>
    <w:qFormat/>
    <w:uiPriority w:val="0"/>
    <w:rPr>
      <w:rFonts w:ascii="Times New Roman" w:hAnsi="Times New Roman"/>
      <w:sz w:val="24"/>
    </w:rPr>
  </w:style>
  <w:style w:type="paragraph" w:customStyle="1" w:styleId="735">
    <w:name w:val="font21"/>
    <w:basedOn w:val="1"/>
    <w:qFormat/>
    <w:uiPriority w:val="0"/>
    <w:pPr>
      <w:spacing w:before="100" w:beforeAutospacing="1" w:after="100" w:afterAutospacing="1"/>
      <w:jc w:val="left"/>
    </w:pPr>
    <w:rPr>
      <w:rFonts w:ascii="宋体" w:hAnsi="宋体" w:cs="宋体"/>
      <w:kern w:val="0"/>
      <w:sz w:val="20"/>
    </w:rPr>
  </w:style>
  <w:style w:type="paragraph" w:customStyle="1" w:styleId="736">
    <w:name w:val="Char Char Char Char Char Char Char Char Char Char Char Char Char Char Char2"/>
    <w:basedOn w:val="1"/>
    <w:qFormat/>
    <w:uiPriority w:val="0"/>
    <w:pPr>
      <w:widowControl w:val="0"/>
    </w:pPr>
    <w:rPr>
      <w:rFonts w:ascii="宋体" w:hAnsi="宋体" w:eastAsia="仿宋_GB2312" w:cs="Courier New"/>
      <w:sz w:val="32"/>
      <w:szCs w:val="32"/>
    </w:rPr>
  </w:style>
  <w:style w:type="paragraph" w:customStyle="1" w:styleId="737">
    <w:name w:val="et6"/>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color w:val="000000"/>
      <w:kern w:val="0"/>
      <w:sz w:val="20"/>
    </w:rPr>
  </w:style>
  <w:style w:type="paragraph" w:customStyle="1" w:styleId="738">
    <w:name w:val="Char Char Char Char Char Char Char1"/>
    <w:basedOn w:val="1"/>
    <w:qFormat/>
    <w:uiPriority w:val="0"/>
    <w:pPr>
      <w:widowControl w:val="0"/>
      <w:spacing w:line="360" w:lineRule="auto"/>
      <w:ind w:firstLine="200" w:firstLineChars="200"/>
    </w:pPr>
    <w:rPr>
      <w:rFonts w:ascii="宋体" w:hAnsi="宋体" w:eastAsia="仿宋_GB2312" w:cs="宋体"/>
      <w:sz w:val="24"/>
      <w:szCs w:val="24"/>
    </w:rPr>
  </w:style>
  <w:style w:type="paragraph" w:customStyle="1" w:styleId="739">
    <w:name w:val="样式 仿宋_GB2312 行距: 1.5 倍行距"/>
    <w:basedOn w:val="1"/>
    <w:qFormat/>
    <w:uiPriority w:val="0"/>
    <w:pPr>
      <w:widowControl w:val="0"/>
      <w:adjustRightInd w:val="0"/>
      <w:snapToGrid w:val="0"/>
      <w:spacing w:line="520" w:lineRule="exact"/>
      <w:ind w:firstLine="560" w:firstLineChars="200"/>
    </w:pPr>
    <w:rPr>
      <w:rFonts w:eastAsia="仿宋_GB2312"/>
      <w:sz w:val="28"/>
    </w:rPr>
  </w:style>
  <w:style w:type="paragraph" w:customStyle="1" w:styleId="740">
    <w:name w:val="正文模式"/>
    <w:basedOn w:val="1"/>
    <w:qFormat/>
    <w:uiPriority w:val="0"/>
    <w:pPr>
      <w:widowControl w:val="0"/>
      <w:ind w:firstLine="560" w:firstLineChars="200"/>
    </w:pPr>
    <w:rPr>
      <w:rFonts w:ascii="宋体" w:hAnsi="宋体" w:eastAsia="仿宋_GB2312"/>
      <w:sz w:val="28"/>
      <w:szCs w:val="28"/>
    </w:rPr>
  </w:style>
  <w:style w:type="paragraph" w:customStyle="1" w:styleId="741">
    <w:name w:val="列出段落4"/>
    <w:basedOn w:val="1"/>
    <w:qFormat/>
    <w:uiPriority w:val="0"/>
    <w:pPr>
      <w:widowControl w:val="0"/>
      <w:ind w:firstLine="420" w:firstLineChars="200"/>
    </w:pPr>
    <w:rPr>
      <w:rFonts w:ascii="Calibri" w:hAnsi="Calibri"/>
      <w:szCs w:val="22"/>
    </w:rPr>
  </w:style>
  <w:style w:type="paragraph" w:customStyle="1" w:styleId="742">
    <w:name w:val="Char12"/>
    <w:basedOn w:val="1"/>
    <w:qFormat/>
    <w:uiPriority w:val="0"/>
    <w:pPr>
      <w:widowControl w:val="0"/>
    </w:pPr>
    <w:rPr>
      <w:rFonts w:ascii="Tahoma" w:hAnsi="Tahoma" w:eastAsia="仿宋_GB2312"/>
      <w:sz w:val="24"/>
    </w:rPr>
  </w:style>
  <w:style w:type="paragraph" w:customStyle="1" w:styleId="743">
    <w:name w:val="简单回函地址"/>
    <w:basedOn w:val="1"/>
    <w:qFormat/>
    <w:uiPriority w:val="99"/>
    <w:pPr>
      <w:widowControl w:val="0"/>
    </w:pPr>
  </w:style>
  <w:style w:type="paragraph" w:customStyle="1" w:styleId="744">
    <w:name w:val="et20"/>
    <w:basedOn w:val="1"/>
    <w:qFormat/>
    <w:uiPriority w:val="0"/>
    <w:pPr>
      <w:pBdr>
        <w:top w:val="single" w:color="000000" w:sz="12"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b/>
      <w:bCs/>
      <w:color w:val="000000"/>
      <w:kern w:val="0"/>
      <w:sz w:val="20"/>
    </w:rPr>
  </w:style>
  <w:style w:type="paragraph" w:customStyle="1" w:styleId="745">
    <w:name w:val="样式6"/>
    <w:basedOn w:val="3"/>
    <w:qFormat/>
    <w:uiPriority w:val="0"/>
    <w:pPr>
      <w:widowControl w:val="0"/>
      <w:tabs>
        <w:tab w:val="left" w:pos="3260"/>
      </w:tabs>
      <w:spacing w:before="0" w:after="0" w:line="360" w:lineRule="auto"/>
      <w:ind w:left="3260" w:hanging="1134"/>
    </w:pPr>
    <w:rPr>
      <w:rFonts w:ascii="宋体" w:hAnsi="宋体" w:eastAsia="仿宋_GB2312"/>
      <w:b w:val="0"/>
      <w:bCs w:val="0"/>
      <w:sz w:val="28"/>
    </w:rPr>
  </w:style>
  <w:style w:type="paragraph" w:customStyle="1" w:styleId="746">
    <w:name w:val="14"/>
    <w:basedOn w:val="1"/>
    <w:qFormat/>
    <w:uiPriority w:val="0"/>
    <w:pPr>
      <w:spacing w:after="160" w:line="240" w:lineRule="exact"/>
      <w:jc w:val="left"/>
    </w:pPr>
    <w:rPr>
      <w:rFonts w:eastAsia="仿宋_GB2312"/>
      <w:sz w:val="24"/>
    </w:rPr>
  </w:style>
  <w:style w:type="paragraph" w:customStyle="1" w:styleId="747">
    <w:name w:val="font13"/>
    <w:basedOn w:val="1"/>
    <w:qFormat/>
    <w:uiPriority w:val="0"/>
    <w:pPr>
      <w:spacing w:before="100" w:beforeAutospacing="1" w:after="100" w:afterAutospacing="1"/>
      <w:jc w:val="left"/>
    </w:pPr>
    <w:rPr>
      <w:kern w:val="0"/>
      <w:szCs w:val="21"/>
    </w:rPr>
  </w:style>
  <w:style w:type="paragraph" w:customStyle="1" w:styleId="748">
    <w:name w:val="Char Char Char2 Char1"/>
    <w:basedOn w:val="1"/>
    <w:qFormat/>
    <w:uiPriority w:val="0"/>
    <w:pPr>
      <w:keepNext/>
      <w:keepLines/>
      <w:widowControl w:val="0"/>
      <w:tabs>
        <w:tab w:val="left" w:pos="856"/>
      </w:tabs>
      <w:ind w:left="856" w:firstLine="560" w:firstLineChars="200"/>
    </w:pPr>
    <w:rPr>
      <w:rFonts w:ascii="Tahoma" w:hAnsi="Tahoma"/>
      <w:sz w:val="24"/>
      <w:szCs w:val="28"/>
    </w:rPr>
  </w:style>
  <w:style w:type="paragraph" w:customStyle="1" w:styleId="749">
    <w:name w:val="font10"/>
    <w:basedOn w:val="1"/>
    <w:qFormat/>
    <w:uiPriority w:val="0"/>
    <w:pPr>
      <w:spacing w:before="100" w:beforeAutospacing="1" w:after="100" w:afterAutospacing="1"/>
      <w:jc w:val="left"/>
    </w:pPr>
    <w:rPr>
      <w:rFonts w:ascii="宋体" w:hAnsi="宋体" w:cs="宋体"/>
      <w:color w:val="000000"/>
      <w:kern w:val="0"/>
      <w:sz w:val="20"/>
    </w:rPr>
  </w:style>
  <w:style w:type="paragraph" w:customStyle="1" w:styleId="750">
    <w:name w:val="页眉3"/>
    <w:basedOn w:val="1"/>
    <w:qFormat/>
    <w:uiPriority w:val="0"/>
    <w:pPr>
      <w:spacing w:before="100" w:beforeAutospacing="1" w:after="100" w:afterAutospacing="1" w:line="400" w:lineRule="atLeast"/>
      <w:jc w:val="left"/>
    </w:pPr>
    <w:rPr>
      <w:rFonts w:ascii="ˎ̥" w:hAnsi="ˎ̥" w:cs="宋体"/>
      <w:b/>
      <w:bCs/>
      <w:color w:val="4B9BE7"/>
      <w:kern w:val="0"/>
      <w:szCs w:val="21"/>
    </w:rPr>
  </w:style>
  <w:style w:type="paragraph" w:customStyle="1" w:styleId="751">
    <w:name w:val="Item Step"/>
    <w:qFormat/>
    <w:uiPriority w:val="0"/>
    <w:pPr>
      <w:spacing w:line="300" w:lineRule="auto"/>
      <w:ind w:left="1170" w:hanging="750"/>
      <w:jc w:val="both"/>
    </w:pPr>
    <w:rPr>
      <w:rFonts w:ascii="Arial" w:hAnsi="Arial" w:eastAsia="宋体" w:cs="Times New Roman"/>
      <w:sz w:val="21"/>
      <w:lang w:val="en-US" w:eastAsia="zh-CN" w:bidi="ar-SA"/>
    </w:rPr>
  </w:style>
  <w:style w:type="paragraph" w:customStyle="1" w:styleId="752">
    <w:name w:val="样式 标题 2 + 段前: 6 磅 段后: 6 磅 行距: 1.5 倍行距"/>
    <w:basedOn w:val="3"/>
    <w:qFormat/>
    <w:uiPriority w:val="0"/>
    <w:pPr>
      <w:widowControl w:val="0"/>
      <w:spacing w:before="120" w:after="120" w:line="360" w:lineRule="auto"/>
    </w:pPr>
    <w:rPr>
      <w:rFonts w:ascii="Arial" w:hAnsi="Arial" w:eastAsia="仿宋_GB2312" w:cs="宋体"/>
      <w:b w:val="0"/>
      <w:bCs w:val="0"/>
      <w:sz w:val="30"/>
      <w:szCs w:val="20"/>
    </w:rPr>
  </w:style>
  <w:style w:type="paragraph" w:customStyle="1" w:styleId="753">
    <w:name w:val="xl4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bottom"/>
    </w:pPr>
    <w:rPr>
      <w:rFonts w:eastAsia="仿宋_GB2312"/>
      <w:kern w:val="0"/>
      <w:sz w:val="16"/>
      <w:szCs w:val="16"/>
    </w:rPr>
  </w:style>
  <w:style w:type="paragraph" w:customStyle="1" w:styleId="754">
    <w:name w:val="封面_文档编号"/>
    <w:qFormat/>
    <w:uiPriority w:val="0"/>
    <w:pPr>
      <w:jc w:val="right"/>
    </w:pPr>
    <w:rPr>
      <w:rFonts w:ascii="Times New Roman" w:hAnsi="Times New Roman" w:eastAsia="宋体" w:cs="Times New Roman"/>
      <w:b/>
      <w:kern w:val="2"/>
      <w:sz w:val="21"/>
      <w:szCs w:val="24"/>
      <w:lang w:val="en-US" w:eastAsia="zh-CN" w:bidi="ar-SA"/>
    </w:rPr>
  </w:style>
  <w:style w:type="paragraph" w:customStyle="1" w:styleId="755">
    <w:name w:val="样式 样式 段前: 0.5 行 + 首行缩进:  2 字符 段前: 0.5 行"/>
    <w:basedOn w:val="1"/>
    <w:qFormat/>
    <w:uiPriority w:val="0"/>
    <w:pPr>
      <w:widowControl w:val="0"/>
      <w:spacing w:line="360" w:lineRule="auto"/>
      <w:ind w:firstLine="200" w:firstLineChars="200"/>
    </w:pPr>
    <w:rPr>
      <w:rFonts w:eastAsia="仿宋_GB2312" w:cs="宋体"/>
      <w:sz w:val="24"/>
    </w:rPr>
  </w:style>
  <w:style w:type="paragraph" w:customStyle="1" w:styleId="756">
    <w:name w:val="目录标题"/>
    <w:qFormat/>
    <w:uiPriority w:val="0"/>
    <w:pPr>
      <w:spacing w:before="480" w:after="360" w:line="300" w:lineRule="auto"/>
      <w:jc w:val="center"/>
    </w:pPr>
    <w:rPr>
      <w:rFonts w:ascii="Arial" w:hAnsi="Arial" w:eastAsia="黑体" w:cs="Times New Roman"/>
      <w:sz w:val="36"/>
      <w:lang w:val="en-US" w:eastAsia="zh-CN" w:bidi="ar-SA"/>
    </w:rPr>
  </w:style>
  <w:style w:type="paragraph" w:customStyle="1" w:styleId="757">
    <w:name w:val="样式 行距: 1.5 倍行距"/>
    <w:basedOn w:val="1"/>
    <w:qFormat/>
    <w:uiPriority w:val="0"/>
    <w:pPr>
      <w:widowControl w:val="0"/>
      <w:spacing w:line="360" w:lineRule="auto"/>
      <w:jc w:val="left"/>
    </w:pPr>
    <w:rPr>
      <w:rFonts w:eastAsia="仿宋_GB2312" w:cs="宋体"/>
      <w:sz w:val="24"/>
    </w:rPr>
  </w:style>
  <w:style w:type="paragraph" w:customStyle="1" w:styleId="758">
    <w:name w:val="文档编号(右)"/>
    <w:basedOn w:val="1"/>
    <w:qFormat/>
    <w:uiPriority w:val="0"/>
    <w:pPr>
      <w:widowControl w:val="0"/>
      <w:snapToGrid w:val="0"/>
      <w:spacing w:before="171" w:line="520" w:lineRule="exact"/>
      <w:ind w:right="143"/>
      <w:jc w:val="right"/>
    </w:pPr>
    <w:rPr>
      <w:rFonts w:eastAsia="黑体"/>
      <w:sz w:val="32"/>
    </w:rPr>
  </w:style>
  <w:style w:type="paragraph" w:customStyle="1" w:styleId="759">
    <w:name w:val="样式 标题 4标题 4 CharH4h444headingPIM 4First SubheadingRef He..."/>
    <w:basedOn w:val="5"/>
    <w:qFormat/>
    <w:uiPriority w:val="0"/>
    <w:pPr>
      <w:widowControl w:val="0"/>
      <w:tabs>
        <w:tab w:val="left" w:pos="3312"/>
      </w:tabs>
      <w:adjustRightInd w:val="0"/>
      <w:spacing w:before="120" w:after="0" w:line="360" w:lineRule="auto"/>
      <w:ind w:firstLine="482" w:firstLineChars="200"/>
      <w:jc w:val="left"/>
      <w:textAlignment w:val="baseline"/>
    </w:pPr>
    <w:rPr>
      <w:rFonts w:ascii="黑体" w:hAnsi="黑体" w:eastAsia="黑体"/>
      <w:i/>
      <w:iCs/>
      <w:kern w:val="21"/>
      <w:sz w:val="24"/>
      <w:szCs w:val="20"/>
    </w:rPr>
  </w:style>
  <w:style w:type="paragraph" w:customStyle="1" w:styleId="760">
    <w:name w:val="表格"/>
    <w:link w:val="870"/>
    <w:qFormat/>
    <w:uiPriority w:val="99"/>
    <w:pPr>
      <w:spacing w:line="280" w:lineRule="exact"/>
      <w:jc w:val="center"/>
    </w:pPr>
    <w:rPr>
      <w:rFonts w:ascii="Times New Roman" w:hAnsi="Times New Roman" w:eastAsia="宋体" w:cs="Times New Roman"/>
      <w:spacing w:val="4"/>
      <w:sz w:val="21"/>
      <w:lang w:val="en-US" w:eastAsia="zh-CN" w:bidi="ar-SA"/>
    </w:rPr>
  </w:style>
  <w:style w:type="paragraph" w:customStyle="1" w:styleId="761">
    <w:name w:val="！自定义正文"/>
    <w:basedOn w:val="1"/>
    <w:qFormat/>
    <w:uiPriority w:val="0"/>
    <w:pPr>
      <w:widowControl w:val="0"/>
      <w:spacing w:afterLines="50" w:line="400" w:lineRule="exact"/>
      <w:ind w:firstLine="420" w:firstLineChars="200"/>
      <w:jc w:val="left"/>
    </w:pPr>
    <w:rPr>
      <w:rFonts w:eastAsia="仿宋_GB2312" w:cs="宋体"/>
      <w:kern w:val="0"/>
      <w:sz w:val="24"/>
      <w:szCs w:val="21"/>
    </w:rPr>
  </w:style>
  <w:style w:type="paragraph" w:customStyle="1" w:styleId="762">
    <w:name w:val="样式 宋体 四号 左 行距: 1.5 倍行距"/>
    <w:basedOn w:val="1"/>
    <w:qFormat/>
    <w:uiPriority w:val="0"/>
    <w:pPr>
      <w:widowControl w:val="0"/>
      <w:tabs>
        <w:tab w:val="left" w:pos="1500"/>
      </w:tabs>
      <w:autoSpaceDE w:val="0"/>
      <w:autoSpaceDN w:val="0"/>
      <w:adjustRightInd w:val="0"/>
      <w:spacing w:line="360" w:lineRule="auto"/>
      <w:ind w:firstLine="560" w:firstLineChars="225"/>
      <w:jc w:val="left"/>
    </w:pPr>
    <w:rPr>
      <w:rFonts w:ascii="宋体" w:hAnsi="宋体" w:eastAsia="仿宋_GB2312" w:cs="宋体"/>
      <w:kern w:val="0"/>
      <w:sz w:val="24"/>
    </w:rPr>
  </w:style>
  <w:style w:type="paragraph" w:customStyle="1" w:styleId="763">
    <w:name w:val="et32"/>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b/>
      <w:bCs/>
      <w:color w:val="000000"/>
      <w:kern w:val="0"/>
      <w:sz w:val="22"/>
      <w:szCs w:val="22"/>
    </w:rPr>
  </w:style>
  <w:style w:type="paragraph" w:customStyle="1" w:styleId="764">
    <w:name w:val="xl111"/>
    <w:basedOn w:val="1"/>
    <w:qFormat/>
    <w:uiPriority w:val="0"/>
    <w:pPr>
      <w:spacing w:before="100" w:beforeAutospacing="1" w:after="100" w:afterAutospacing="1"/>
      <w:jc w:val="center"/>
    </w:pPr>
    <w:rPr>
      <w:rFonts w:ascii="仿宋" w:hAnsi="仿宋" w:eastAsia="仿宋" w:cs="宋体"/>
      <w:b/>
      <w:bCs/>
      <w:kern w:val="0"/>
      <w:sz w:val="28"/>
      <w:szCs w:val="28"/>
    </w:rPr>
  </w:style>
  <w:style w:type="paragraph" w:customStyle="1" w:styleId="765">
    <w:name w:val="xl119"/>
    <w:basedOn w:val="1"/>
    <w:qFormat/>
    <w:uiPriority w:val="0"/>
    <w:pPr>
      <w:pBdr>
        <w:bottom w:val="single" w:color="auto" w:sz="8" w:space="0"/>
        <w:right w:val="single" w:color="auto" w:sz="8" w:space="0"/>
      </w:pBdr>
      <w:spacing w:before="100" w:beforeAutospacing="1" w:after="100" w:afterAutospacing="1"/>
      <w:jc w:val="left"/>
    </w:pPr>
    <w:rPr>
      <w:kern w:val="0"/>
      <w:sz w:val="20"/>
    </w:rPr>
  </w:style>
  <w:style w:type="paragraph" w:customStyle="1" w:styleId="766">
    <w:name w:val="xl4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bottom"/>
    </w:pPr>
    <w:rPr>
      <w:rFonts w:eastAsia="仿宋_GB2312"/>
      <w:b/>
      <w:bCs/>
      <w:kern w:val="0"/>
      <w:sz w:val="16"/>
      <w:szCs w:val="16"/>
    </w:rPr>
  </w:style>
  <w:style w:type="paragraph" w:customStyle="1" w:styleId="767">
    <w:name w:val="附图标题"/>
    <w:basedOn w:val="1"/>
    <w:next w:val="1"/>
    <w:qFormat/>
    <w:uiPriority w:val="0"/>
    <w:pPr>
      <w:spacing w:line="360" w:lineRule="auto"/>
      <w:jc w:val="center"/>
    </w:pPr>
    <w:rPr>
      <w:rFonts w:ascii="Arial" w:hAnsi="Arial" w:eastAsia="黑体"/>
      <w:sz w:val="24"/>
      <w:szCs w:val="21"/>
    </w:rPr>
  </w:style>
  <w:style w:type="paragraph" w:customStyle="1" w:styleId="768">
    <w:name w:val="xl4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eastAsia="仿宋_GB2312"/>
      <w:kern w:val="0"/>
      <w:sz w:val="16"/>
      <w:szCs w:val="16"/>
    </w:rPr>
  </w:style>
  <w:style w:type="paragraph" w:customStyle="1" w:styleId="769">
    <w:name w:val="Char Char Char Char Char Char Char Char Char Char Char Char Char Char Char1"/>
    <w:basedOn w:val="1"/>
    <w:qFormat/>
    <w:uiPriority w:val="0"/>
    <w:pPr>
      <w:widowControl w:val="0"/>
    </w:pPr>
    <w:rPr>
      <w:rFonts w:ascii="宋体" w:hAnsi="宋体" w:cs="Courier New"/>
      <w:sz w:val="32"/>
      <w:szCs w:val="32"/>
    </w:rPr>
  </w:style>
  <w:style w:type="paragraph" w:customStyle="1" w:styleId="770">
    <w:name w:val="xl3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kern w:val="0"/>
      <w:sz w:val="24"/>
      <w:szCs w:val="24"/>
    </w:rPr>
  </w:style>
  <w:style w:type="paragraph" w:customStyle="1" w:styleId="771">
    <w:name w:val="xl2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仿宋_GB2312" w:cs="宋体"/>
      <w:kern w:val="0"/>
      <w:sz w:val="24"/>
      <w:szCs w:val="24"/>
    </w:rPr>
  </w:style>
  <w:style w:type="paragraph" w:customStyle="1" w:styleId="772">
    <w:name w:val="扉页_项目名称"/>
    <w:qFormat/>
    <w:uiPriority w:val="0"/>
    <w:pPr>
      <w:jc w:val="center"/>
    </w:pPr>
    <w:rPr>
      <w:rFonts w:ascii="Times New Roman" w:hAnsi="Times New Roman" w:eastAsia="宋体" w:cs="Times New Roman"/>
      <w:kern w:val="2"/>
      <w:sz w:val="44"/>
      <w:szCs w:val="24"/>
      <w:lang w:val="en-US" w:eastAsia="zh-CN" w:bidi="ar-SA"/>
    </w:rPr>
  </w:style>
  <w:style w:type="paragraph" w:customStyle="1" w:styleId="773">
    <w:name w:val="Char Char Char Char Char Char Char Char Char Char Char Char Char Char Char3"/>
    <w:basedOn w:val="1"/>
    <w:qFormat/>
    <w:uiPriority w:val="0"/>
    <w:pPr>
      <w:widowControl w:val="0"/>
    </w:pPr>
    <w:rPr>
      <w:rFonts w:ascii="宋体" w:hAnsi="宋体" w:eastAsia="仿宋_GB2312" w:cs="Courier New"/>
      <w:sz w:val="32"/>
      <w:szCs w:val="32"/>
    </w:rPr>
  </w:style>
  <w:style w:type="paragraph" w:customStyle="1" w:styleId="774">
    <w:name w:val="xl3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bottom"/>
    </w:pPr>
    <w:rPr>
      <w:rFonts w:ascii="宋体" w:hAnsi="宋体" w:eastAsia="仿宋_GB2312" w:cs="宋体"/>
      <w:b/>
      <w:bCs/>
      <w:kern w:val="0"/>
      <w:sz w:val="16"/>
      <w:szCs w:val="16"/>
    </w:rPr>
  </w:style>
  <w:style w:type="paragraph" w:customStyle="1" w:styleId="775">
    <w:name w:val="Char Char Char Char2 Char Char Char"/>
    <w:basedOn w:val="1"/>
    <w:qFormat/>
    <w:uiPriority w:val="0"/>
    <w:pPr>
      <w:spacing w:after="160" w:line="240" w:lineRule="exact"/>
      <w:jc w:val="left"/>
    </w:pPr>
    <w:rPr>
      <w:rFonts w:ascii="Verdana" w:hAnsi="Verdana" w:eastAsia="仿宋_GB2312"/>
      <w:kern w:val="0"/>
      <w:sz w:val="20"/>
      <w:lang w:eastAsia="en-US"/>
    </w:rPr>
  </w:style>
  <w:style w:type="paragraph" w:customStyle="1" w:styleId="776">
    <w:name w:val="font17"/>
    <w:basedOn w:val="1"/>
    <w:qFormat/>
    <w:uiPriority w:val="0"/>
    <w:pPr>
      <w:spacing w:before="100" w:beforeAutospacing="1" w:after="100" w:afterAutospacing="1"/>
      <w:jc w:val="left"/>
    </w:pPr>
    <w:rPr>
      <w:rFonts w:ascii="宋体" w:hAnsi="宋体" w:cs="宋体"/>
      <w:kern w:val="0"/>
      <w:sz w:val="20"/>
    </w:rPr>
  </w:style>
  <w:style w:type="paragraph" w:customStyle="1" w:styleId="777">
    <w:name w:val="font15"/>
    <w:basedOn w:val="1"/>
    <w:qFormat/>
    <w:uiPriority w:val="0"/>
    <w:pPr>
      <w:spacing w:before="100" w:beforeAutospacing="1" w:after="100" w:afterAutospacing="1"/>
      <w:jc w:val="left"/>
    </w:pPr>
    <w:rPr>
      <w:color w:val="000000"/>
      <w:kern w:val="0"/>
      <w:sz w:val="22"/>
      <w:szCs w:val="22"/>
    </w:rPr>
  </w:style>
  <w:style w:type="paragraph" w:customStyle="1" w:styleId="778">
    <w:name w:val="样式 样式 (中文) 黑体 小三 行距: 1.5 倍行距 + Times New Roman 四号 段前: 0 磅 段后:..."/>
    <w:basedOn w:val="4"/>
    <w:qFormat/>
    <w:uiPriority w:val="0"/>
    <w:pPr>
      <w:widowControl w:val="0"/>
      <w:spacing w:before="0" w:after="0"/>
    </w:pPr>
    <w:rPr>
      <w:kern w:val="0"/>
      <w:sz w:val="28"/>
    </w:rPr>
  </w:style>
  <w:style w:type="paragraph" w:customStyle="1" w:styleId="779">
    <w:name w:val="样式 小四 行距: 多倍行距 1.6 字行"/>
    <w:basedOn w:val="1"/>
    <w:qFormat/>
    <w:uiPriority w:val="0"/>
    <w:pPr>
      <w:widowControl w:val="0"/>
      <w:adjustRightInd w:val="0"/>
      <w:spacing w:line="384" w:lineRule="auto"/>
      <w:ind w:firstLine="480" w:firstLineChars="200"/>
      <w:textAlignment w:val="baseline"/>
    </w:pPr>
    <w:rPr>
      <w:rFonts w:eastAsia="仿宋_GB2312" w:cs="宋体"/>
      <w:sz w:val="28"/>
      <w:szCs w:val="28"/>
    </w:rPr>
  </w:style>
  <w:style w:type="paragraph" w:customStyle="1" w:styleId="780">
    <w:name w:val="样式 正文Alt+ctrl+Z + 首行缩进:  2 字符1"/>
    <w:basedOn w:val="1"/>
    <w:qFormat/>
    <w:uiPriority w:val="0"/>
    <w:pPr>
      <w:widowControl w:val="0"/>
      <w:spacing w:afterLines="50" w:line="360" w:lineRule="auto"/>
      <w:ind w:firstLine="200" w:firstLineChars="200"/>
    </w:pPr>
    <w:rPr>
      <w:rFonts w:eastAsia="仿宋_GB2312" w:cs="宋体"/>
      <w:sz w:val="24"/>
    </w:rPr>
  </w:style>
  <w:style w:type="paragraph" w:customStyle="1" w:styleId="781">
    <w:name w:val="小字体"/>
    <w:basedOn w:val="1"/>
    <w:next w:val="1"/>
    <w:qFormat/>
    <w:uiPriority w:val="0"/>
    <w:pPr>
      <w:widowControl w:val="0"/>
      <w:spacing w:line="0" w:lineRule="atLeast"/>
    </w:pPr>
    <w:rPr>
      <w:rFonts w:eastAsia="仿宋_GB2312"/>
      <w:sz w:val="18"/>
      <w:szCs w:val="24"/>
    </w:rPr>
  </w:style>
  <w:style w:type="paragraph" w:customStyle="1" w:styleId="782">
    <w:name w:val="标题三 Char Char Char"/>
    <w:basedOn w:val="1"/>
    <w:qFormat/>
    <w:uiPriority w:val="0"/>
    <w:pPr>
      <w:widowControl w:val="0"/>
    </w:pPr>
    <w:rPr>
      <w:szCs w:val="24"/>
    </w:rPr>
  </w:style>
  <w:style w:type="paragraph" w:customStyle="1" w:styleId="783">
    <w:name w:val="xl10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仿宋_GB2312" w:cs="宋体"/>
      <w:kern w:val="0"/>
      <w:sz w:val="20"/>
    </w:rPr>
  </w:style>
  <w:style w:type="paragraph" w:customStyle="1" w:styleId="784">
    <w:name w:val="BodyText"/>
    <w:basedOn w:val="1"/>
    <w:qFormat/>
    <w:uiPriority w:val="0"/>
    <w:pPr>
      <w:tabs>
        <w:tab w:val="left" w:pos="360"/>
      </w:tabs>
      <w:overflowPunct w:val="0"/>
      <w:autoSpaceDE w:val="0"/>
      <w:autoSpaceDN w:val="0"/>
      <w:adjustRightInd w:val="0"/>
      <w:spacing w:beforeLines="50" w:afterLines="50" w:line="360" w:lineRule="auto"/>
      <w:ind w:right="-120"/>
      <w:jc w:val="left"/>
      <w:textAlignment w:val="baseline"/>
    </w:pPr>
    <w:rPr>
      <w:rFonts w:ascii="宋体" w:hAnsi="宋体" w:eastAsia="仿宋_GB2312" w:cs="Arial"/>
      <w:kern w:val="0"/>
      <w:sz w:val="28"/>
      <w:szCs w:val="24"/>
    </w:rPr>
  </w:style>
  <w:style w:type="paragraph" w:customStyle="1" w:styleId="785">
    <w:name w:val="xl11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color w:val="000000"/>
      <w:kern w:val="0"/>
      <w:sz w:val="20"/>
    </w:rPr>
  </w:style>
  <w:style w:type="paragraph" w:customStyle="1" w:styleId="786">
    <w:name w:val="列出段落6"/>
    <w:basedOn w:val="1"/>
    <w:qFormat/>
    <w:uiPriority w:val="0"/>
    <w:pPr>
      <w:widowControl w:val="0"/>
      <w:spacing w:line="360" w:lineRule="auto"/>
      <w:ind w:firstLine="420" w:firstLineChars="200"/>
    </w:pPr>
    <w:rPr>
      <w:rFonts w:eastAsia="仿宋_GB2312"/>
      <w:sz w:val="28"/>
      <w:szCs w:val="24"/>
    </w:rPr>
  </w:style>
  <w:style w:type="paragraph" w:customStyle="1" w:styleId="787">
    <w:name w:val="样式 标题 2 + 居中 右  0.12 字符"/>
    <w:basedOn w:val="3"/>
    <w:qFormat/>
    <w:uiPriority w:val="0"/>
    <w:pPr>
      <w:pageBreakBefore/>
      <w:widowControl w:val="0"/>
      <w:spacing w:line="415" w:lineRule="auto"/>
      <w:ind w:right="12" w:rightChars="12"/>
      <w:jc w:val="center"/>
    </w:pPr>
    <w:rPr>
      <w:rFonts w:ascii="Arial" w:hAnsi="Arial" w:eastAsia="仿宋_GB2312"/>
      <w:b w:val="0"/>
      <w:bCs w:val="0"/>
      <w:sz w:val="28"/>
      <w:szCs w:val="20"/>
    </w:rPr>
  </w:style>
  <w:style w:type="paragraph" w:customStyle="1" w:styleId="788">
    <w:name w:val="et40"/>
    <w:basedOn w:val="1"/>
    <w:qFormat/>
    <w:uiPriority w:val="0"/>
    <w:pPr>
      <w:pBdr>
        <w:top w:val="single" w:color="000000" w:sz="12" w:space="0"/>
        <w:left w:val="single" w:color="000000" w:sz="12" w:space="0"/>
        <w:bottom w:val="single" w:color="000000" w:sz="4" w:space="0"/>
        <w:right w:val="single" w:color="000000" w:sz="4" w:space="0"/>
      </w:pBdr>
      <w:spacing w:before="100" w:beforeAutospacing="1" w:after="100" w:afterAutospacing="1"/>
      <w:jc w:val="left"/>
      <w:textAlignment w:val="center"/>
    </w:pPr>
    <w:rPr>
      <w:rFonts w:ascii="宋体" w:hAnsi="宋体" w:cs="宋体"/>
      <w:b/>
      <w:bCs/>
      <w:color w:val="000000"/>
      <w:kern w:val="0"/>
      <w:sz w:val="20"/>
    </w:rPr>
  </w:style>
  <w:style w:type="paragraph" w:customStyle="1" w:styleId="789">
    <w:name w:val="et5"/>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color w:val="000000"/>
      <w:kern w:val="0"/>
      <w:sz w:val="20"/>
    </w:rPr>
  </w:style>
  <w:style w:type="paragraph" w:customStyle="1" w:styleId="790">
    <w:name w:val="font18"/>
    <w:basedOn w:val="1"/>
    <w:qFormat/>
    <w:uiPriority w:val="0"/>
    <w:pPr>
      <w:spacing w:before="100" w:beforeAutospacing="1" w:after="100" w:afterAutospacing="1"/>
      <w:jc w:val="left"/>
    </w:pPr>
    <w:rPr>
      <w:rFonts w:ascii="宋体" w:hAnsi="宋体" w:cs="宋体"/>
      <w:b/>
      <w:bCs/>
      <w:kern w:val="0"/>
      <w:sz w:val="20"/>
    </w:rPr>
  </w:style>
  <w:style w:type="paragraph" w:customStyle="1" w:styleId="791">
    <w:name w:val="Char Char Char1"/>
    <w:basedOn w:val="1"/>
    <w:qFormat/>
    <w:uiPriority w:val="0"/>
    <w:pPr>
      <w:spacing w:after="160" w:line="240" w:lineRule="exact"/>
      <w:ind w:firstLine="200" w:firstLineChars="200"/>
      <w:jc w:val="left"/>
    </w:pPr>
    <w:rPr>
      <w:rFonts w:ascii="Verdana" w:hAnsi="Verdana" w:eastAsia="仿宋_GB2312"/>
      <w:kern w:val="0"/>
      <w:sz w:val="28"/>
      <w:lang w:val="en-GB" w:eastAsia="en-US"/>
    </w:rPr>
  </w:style>
  <w:style w:type="paragraph" w:customStyle="1" w:styleId="792">
    <w:name w:val="样式 标题 2第一层条H2第二层论文标题 12nd levelh22Header 2l2Underrubri..."/>
    <w:basedOn w:val="3"/>
    <w:qFormat/>
    <w:uiPriority w:val="0"/>
    <w:pPr>
      <w:widowControl w:val="0"/>
      <w:tabs>
        <w:tab w:val="left" w:pos="2268"/>
      </w:tabs>
      <w:adjustRightInd w:val="0"/>
      <w:ind w:left="2268" w:hanging="567"/>
    </w:pPr>
    <w:rPr>
      <w:rFonts w:ascii="Arial" w:hAnsi="Arial" w:eastAsia="仿宋_GB2312" w:cs="Arial"/>
      <w:b w:val="0"/>
      <w:bCs w:val="0"/>
      <w:sz w:val="28"/>
    </w:rPr>
  </w:style>
  <w:style w:type="paragraph" w:customStyle="1" w:styleId="793">
    <w:name w:val="正文格式 Char Char Char Char Char"/>
    <w:basedOn w:val="1"/>
    <w:qFormat/>
    <w:uiPriority w:val="0"/>
    <w:pPr>
      <w:widowControl w:val="0"/>
      <w:spacing w:line="360" w:lineRule="auto"/>
      <w:ind w:firstLine="561"/>
    </w:pPr>
    <w:rPr>
      <w:rFonts w:eastAsia="仿宋_GB2312"/>
      <w:sz w:val="28"/>
      <w:szCs w:val="24"/>
    </w:rPr>
  </w:style>
  <w:style w:type="paragraph" w:customStyle="1" w:styleId="794">
    <w:name w:val="font5"/>
    <w:basedOn w:val="1"/>
    <w:qFormat/>
    <w:uiPriority w:val="0"/>
    <w:pPr>
      <w:spacing w:before="100" w:beforeAutospacing="1" w:after="100" w:afterAutospacing="1"/>
      <w:jc w:val="left"/>
    </w:pPr>
    <w:rPr>
      <w:rFonts w:ascii="宋体" w:hAnsi="宋体" w:cs="宋体"/>
      <w:kern w:val="0"/>
      <w:sz w:val="18"/>
      <w:szCs w:val="18"/>
    </w:rPr>
  </w:style>
  <w:style w:type="paragraph" w:customStyle="1" w:styleId="795">
    <w:name w:val="z"/>
    <w:basedOn w:val="1"/>
    <w:qFormat/>
    <w:uiPriority w:val="0"/>
    <w:pPr>
      <w:widowControl w:val="0"/>
      <w:spacing w:line="360" w:lineRule="auto"/>
      <w:ind w:firstLine="480" w:firstLineChars="200"/>
    </w:pPr>
    <w:rPr>
      <w:rFonts w:hint="eastAsia" w:ascii="宋体" w:hAnsi="宋体" w:eastAsia="仿宋_GB2312"/>
      <w:sz w:val="24"/>
      <w:szCs w:val="24"/>
    </w:rPr>
  </w:style>
  <w:style w:type="paragraph" w:customStyle="1" w:styleId="796">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797">
    <w:name w:val="图名(小四)"/>
    <w:basedOn w:val="1"/>
    <w:qFormat/>
    <w:uiPriority w:val="0"/>
    <w:pPr>
      <w:widowControl w:val="0"/>
      <w:tabs>
        <w:tab w:val="left" w:pos="900"/>
      </w:tabs>
      <w:jc w:val="center"/>
    </w:pPr>
    <w:rPr>
      <w:rFonts w:eastAsia="仿宋_GB2312"/>
      <w:sz w:val="24"/>
      <w:szCs w:val="24"/>
    </w:rPr>
  </w:style>
  <w:style w:type="paragraph" w:customStyle="1" w:styleId="798">
    <w:name w:val="Char1"/>
    <w:basedOn w:val="1"/>
    <w:uiPriority w:val="0"/>
    <w:pPr>
      <w:widowControl w:val="0"/>
    </w:pPr>
    <w:rPr>
      <w:rFonts w:ascii="Tahoma" w:hAnsi="Tahoma" w:eastAsia="仿宋_GB2312"/>
      <w:sz w:val="24"/>
    </w:rPr>
  </w:style>
  <w:style w:type="paragraph" w:customStyle="1" w:styleId="799">
    <w:name w:val="xl12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Cs w:val="21"/>
    </w:rPr>
  </w:style>
  <w:style w:type="character" w:customStyle="1" w:styleId="800">
    <w:name w:val="z-窗体底端 Char1"/>
    <w:basedOn w:val="70"/>
    <w:semiHidden/>
    <w:uiPriority w:val="99"/>
    <w:rPr>
      <w:rFonts w:ascii="Arial" w:hAnsi="Arial" w:eastAsia="宋体" w:cs="Arial"/>
      <w:vanish/>
      <w:kern w:val="2"/>
      <w:sz w:val="16"/>
      <w:szCs w:val="16"/>
    </w:rPr>
  </w:style>
  <w:style w:type="paragraph" w:customStyle="1" w:styleId="801">
    <w:name w:val="正文 + 五号"/>
    <w:basedOn w:val="1"/>
    <w:uiPriority w:val="0"/>
    <w:pPr>
      <w:widowControl w:val="0"/>
      <w:tabs>
        <w:tab w:val="left" w:pos="1500"/>
      </w:tabs>
      <w:autoSpaceDE w:val="0"/>
      <w:autoSpaceDN w:val="0"/>
      <w:adjustRightInd w:val="0"/>
      <w:spacing w:line="400" w:lineRule="exact"/>
    </w:pPr>
    <w:rPr>
      <w:rFonts w:eastAsia="仿宋_GB2312"/>
      <w:sz w:val="24"/>
      <w:szCs w:val="21"/>
    </w:rPr>
  </w:style>
  <w:style w:type="paragraph" w:customStyle="1" w:styleId="802">
    <w:name w:val="Char Char Char Char1 Char Char Char Char Char Char Char Char Char Char Char Char Char Char Char Char Char Char Char Char Char Char Char Char Char Char1 Char Char Char Char Char Char Char Char Char Char Char Char Char Char"/>
    <w:basedOn w:val="1"/>
    <w:uiPriority w:val="0"/>
    <w:pPr>
      <w:keepNext/>
      <w:keepLines/>
      <w:widowControl w:val="0"/>
      <w:tabs>
        <w:tab w:val="left" w:pos="856"/>
      </w:tabs>
      <w:ind w:left="856" w:hanging="432" w:firstLineChars="200"/>
    </w:pPr>
    <w:rPr>
      <w:rFonts w:ascii="Tahoma" w:hAnsi="Tahoma" w:eastAsia="仿宋_GB2312"/>
      <w:sz w:val="24"/>
      <w:szCs w:val="28"/>
    </w:rPr>
  </w:style>
  <w:style w:type="paragraph" w:customStyle="1" w:styleId="803">
    <w:name w:val="样式8"/>
    <w:basedOn w:val="1"/>
    <w:uiPriority w:val="0"/>
    <w:pPr>
      <w:snapToGrid w:val="0"/>
      <w:spacing w:line="360" w:lineRule="auto"/>
      <w:jc w:val="center"/>
    </w:pPr>
    <w:rPr>
      <w:rFonts w:ascii="宋体" w:hAnsi="宋体" w:cs="宋体"/>
      <w:kern w:val="0"/>
      <w:sz w:val="28"/>
      <w:szCs w:val="28"/>
    </w:rPr>
  </w:style>
  <w:style w:type="paragraph" w:customStyle="1" w:styleId="804">
    <w:name w:val="样式 标题 2 + 两端对齐"/>
    <w:basedOn w:val="3"/>
    <w:uiPriority w:val="0"/>
    <w:pPr>
      <w:widowControl w:val="0"/>
      <w:spacing w:beforeLines="50" w:afterLines="50" w:line="360" w:lineRule="auto"/>
    </w:pPr>
    <w:rPr>
      <w:rFonts w:ascii="Times New Roman" w:hAnsi="Times New Roman" w:eastAsia="仿宋_GB2312" w:cs="宋体"/>
      <w:bCs w:val="0"/>
      <w:kern w:val="32"/>
      <w:sz w:val="28"/>
      <w:szCs w:val="20"/>
    </w:rPr>
  </w:style>
  <w:style w:type="paragraph" w:customStyle="1" w:styleId="805">
    <w:name w:val="font7"/>
    <w:basedOn w:val="1"/>
    <w:uiPriority w:val="0"/>
    <w:pPr>
      <w:spacing w:before="100" w:beforeAutospacing="1" w:after="100" w:afterAutospacing="1"/>
      <w:jc w:val="left"/>
    </w:pPr>
    <w:rPr>
      <w:rFonts w:ascii="宋体" w:hAnsi="宋体" w:cs="宋体"/>
      <w:kern w:val="0"/>
      <w:sz w:val="20"/>
    </w:rPr>
  </w:style>
  <w:style w:type="paragraph" w:customStyle="1" w:styleId="806">
    <w:name w:val="Char Char Char Char2 Char Char Char2"/>
    <w:basedOn w:val="1"/>
    <w:qFormat/>
    <w:uiPriority w:val="0"/>
    <w:pPr>
      <w:spacing w:after="160" w:line="240" w:lineRule="exact"/>
      <w:jc w:val="left"/>
    </w:pPr>
    <w:rPr>
      <w:rFonts w:ascii="Verdana" w:hAnsi="Verdana" w:eastAsia="仿宋_GB2312"/>
      <w:kern w:val="0"/>
      <w:sz w:val="20"/>
      <w:lang w:eastAsia="en-US"/>
    </w:rPr>
  </w:style>
  <w:style w:type="paragraph" w:customStyle="1" w:styleId="807">
    <w:name w:val="小标题"/>
    <w:basedOn w:val="1"/>
    <w:next w:val="1"/>
    <w:uiPriority w:val="0"/>
    <w:pPr>
      <w:widowControl w:val="0"/>
      <w:tabs>
        <w:tab w:val="left" w:pos="915"/>
      </w:tabs>
      <w:ind w:left="915" w:leftChars="100" w:hanging="360" w:firstLineChars="200"/>
    </w:pPr>
    <w:rPr>
      <w:rFonts w:ascii="黑体" w:eastAsia="黑体"/>
      <w:sz w:val="24"/>
    </w:rPr>
  </w:style>
  <w:style w:type="paragraph" w:customStyle="1" w:styleId="808">
    <w:name w:val="小标题2"/>
    <w:basedOn w:val="1"/>
    <w:next w:val="1"/>
    <w:uiPriority w:val="0"/>
    <w:pPr>
      <w:widowControl w:val="0"/>
      <w:tabs>
        <w:tab w:val="left" w:pos="0"/>
        <w:tab w:val="left" w:pos="900"/>
      </w:tabs>
      <w:ind w:left="1134"/>
    </w:pPr>
    <w:rPr>
      <w:rFonts w:ascii="宋体" w:hAnsi="宋体" w:eastAsia="仿宋_GB2312"/>
      <w:color w:val="000000"/>
      <w:sz w:val="24"/>
      <w:szCs w:val="21"/>
    </w:rPr>
  </w:style>
  <w:style w:type="paragraph" w:customStyle="1" w:styleId="809">
    <w:name w:val="et14"/>
    <w:basedOn w:val="1"/>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color w:val="000000"/>
      <w:kern w:val="0"/>
      <w:sz w:val="20"/>
    </w:rPr>
  </w:style>
  <w:style w:type="paragraph" w:customStyle="1" w:styleId="810">
    <w:name w:val="et45"/>
    <w:basedOn w:val="1"/>
    <w:uiPriority w:val="0"/>
    <w:pPr>
      <w:pBdr>
        <w:top w:val="single" w:color="000000" w:sz="12" w:space="0"/>
        <w:left w:val="single" w:color="000000" w:sz="4" w:space="0"/>
        <w:bottom w:val="single" w:color="000000" w:sz="4" w:space="0"/>
        <w:right w:val="single" w:color="000000" w:sz="12" w:space="0"/>
      </w:pBdr>
      <w:spacing w:before="100" w:beforeAutospacing="1" w:after="100" w:afterAutospacing="1"/>
      <w:jc w:val="center"/>
      <w:textAlignment w:val="center"/>
    </w:pPr>
    <w:rPr>
      <w:rFonts w:ascii="宋体" w:hAnsi="宋体" w:cs="宋体"/>
      <w:color w:val="000000"/>
      <w:kern w:val="0"/>
      <w:sz w:val="20"/>
    </w:rPr>
  </w:style>
  <w:style w:type="paragraph" w:customStyle="1" w:styleId="811">
    <w:name w:val="样式 宋体 小四 黑色 两端对齐 段前: 1.2 磅 段后: 1.2 磅 行距: 1.5 倍行距"/>
    <w:basedOn w:val="1"/>
    <w:uiPriority w:val="0"/>
    <w:pPr>
      <w:overflowPunct w:val="0"/>
      <w:autoSpaceDE w:val="0"/>
      <w:autoSpaceDN w:val="0"/>
      <w:adjustRightInd w:val="0"/>
      <w:spacing w:before="120" w:after="120" w:line="460" w:lineRule="exact"/>
      <w:ind w:firstLine="200" w:firstLineChars="200"/>
      <w:textAlignment w:val="baseline"/>
    </w:pPr>
    <w:rPr>
      <w:rFonts w:ascii="宋体" w:eastAsia="仿宋_GB2312"/>
      <w:color w:val="000000"/>
      <w:kern w:val="0"/>
      <w:sz w:val="24"/>
      <w:lang w:eastAsia="en-US"/>
    </w:rPr>
  </w:style>
  <w:style w:type="paragraph" w:customStyle="1" w:styleId="812">
    <w:name w:val="et36"/>
    <w:basedOn w:val="1"/>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right"/>
      <w:textAlignment w:val="center"/>
    </w:pPr>
    <w:rPr>
      <w:rFonts w:ascii="宋体" w:hAnsi="宋体" w:cs="宋体"/>
      <w:b/>
      <w:bCs/>
      <w:color w:val="000000"/>
      <w:kern w:val="0"/>
      <w:sz w:val="20"/>
    </w:rPr>
  </w:style>
  <w:style w:type="paragraph" w:customStyle="1" w:styleId="813">
    <w:name w:val="小标题3"/>
    <w:basedOn w:val="1"/>
    <w:next w:val="1"/>
    <w:uiPriority w:val="0"/>
    <w:pPr>
      <w:widowControl w:val="0"/>
      <w:tabs>
        <w:tab w:val="left" w:pos="0"/>
      </w:tabs>
      <w:ind w:firstLine="200"/>
    </w:pPr>
    <w:rPr>
      <w:rFonts w:ascii="宋体" w:hAnsi="宋体" w:eastAsia="仿宋_GB2312"/>
      <w:sz w:val="24"/>
      <w:szCs w:val="21"/>
    </w:rPr>
  </w:style>
  <w:style w:type="paragraph" w:customStyle="1" w:styleId="814">
    <w:name w:val="xl11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rPr>
  </w:style>
  <w:style w:type="paragraph" w:customStyle="1" w:styleId="815">
    <w:name w:val="TOC 标题1"/>
    <w:basedOn w:val="2"/>
    <w:next w:val="1"/>
    <w:qFormat/>
    <w:uiPriority w:val="0"/>
    <w:pPr>
      <w:pageBreakBefore/>
      <w:spacing w:before="480" w:after="0" w:line="276" w:lineRule="auto"/>
      <w:jc w:val="left"/>
      <w:outlineLvl w:val="9"/>
    </w:pPr>
    <w:rPr>
      <w:rFonts w:ascii="Cambria" w:hAnsi="Cambria"/>
      <w:bCs/>
      <w:color w:val="365F91"/>
      <w:kern w:val="0"/>
      <w:sz w:val="28"/>
      <w:szCs w:val="28"/>
    </w:rPr>
  </w:style>
  <w:style w:type="paragraph" w:customStyle="1" w:styleId="816">
    <w:name w:val="样式 标题 3 + 左侧:  0.99 厘米 段后: 0.5 行"/>
    <w:basedOn w:val="4"/>
    <w:uiPriority w:val="0"/>
    <w:pPr>
      <w:keepNext w:val="0"/>
      <w:keepLines w:val="0"/>
      <w:widowControl w:val="0"/>
      <w:adjustRightInd w:val="0"/>
      <w:spacing w:beforeLines="50" w:afterLines="50" w:line="360" w:lineRule="auto"/>
      <w:ind w:right="-1046" w:rightChars="-498" w:firstLine="600" w:firstLineChars="200"/>
      <w:textAlignment w:val="baseline"/>
    </w:pPr>
    <w:rPr>
      <w:rFonts w:ascii="宋体" w:hAnsi="宋体"/>
      <w:sz w:val="30"/>
      <w:szCs w:val="30"/>
    </w:rPr>
  </w:style>
  <w:style w:type="paragraph" w:customStyle="1" w:styleId="817">
    <w:name w:val="xl63"/>
    <w:basedOn w:val="1"/>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kern w:val="0"/>
      <w:szCs w:val="21"/>
    </w:rPr>
  </w:style>
  <w:style w:type="paragraph" w:customStyle="1" w:styleId="818">
    <w:name w:val="xl2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仿宋_GB2312" w:cs="宋体"/>
      <w:b/>
      <w:bCs/>
      <w:kern w:val="0"/>
      <w:sz w:val="24"/>
      <w:szCs w:val="24"/>
    </w:rPr>
  </w:style>
  <w:style w:type="paragraph" w:customStyle="1" w:styleId="819">
    <w:name w:val="style29"/>
    <w:basedOn w:val="1"/>
    <w:uiPriority w:val="0"/>
    <w:pPr>
      <w:tabs>
        <w:tab w:val="left" w:pos="1500"/>
      </w:tabs>
      <w:autoSpaceDE w:val="0"/>
      <w:autoSpaceDN w:val="0"/>
      <w:adjustRightInd w:val="0"/>
      <w:spacing w:before="100" w:beforeAutospacing="1" w:after="100" w:afterAutospacing="1"/>
      <w:jc w:val="left"/>
    </w:pPr>
    <w:rPr>
      <w:rFonts w:ascii="宋体" w:hAnsi="宋体" w:eastAsia="仿宋_GB2312" w:cs="宋体"/>
      <w:color w:val="333333"/>
      <w:kern w:val="0"/>
      <w:sz w:val="15"/>
      <w:szCs w:val="15"/>
    </w:rPr>
  </w:style>
  <w:style w:type="paragraph" w:customStyle="1" w:styleId="820">
    <w:name w:val="样式 正文1 + 左侧:  1 字符1"/>
    <w:basedOn w:val="99"/>
    <w:uiPriority w:val="0"/>
    <w:pPr>
      <w:keepNext/>
      <w:keepLines/>
      <w:tabs>
        <w:tab w:val="clear" w:pos="2160"/>
      </w:tabs>
      <w:adjustRightInd/>
      <w:spacing w:line="360" w:lineRule="auto"/>
      <w:ind w:firstLine="560" w:firstLineChars="200"/>
      <w:jc w:val="both"/>
      <w:textAlignment w:val="auto"/>
    </w:pPr>
    <w:rPr>
      <w:rFonts w:ascii="Times New Roman" w:eastAsia="宋体" w:cs="宋体"/>
      <w:kern w:val="2"/>
      <w:sz w:val="24"/>
    </w:rPr>
  </w:style>
  <w:style w:type="paragraph" w:customStyle="1" w:styleId="821">
    <w:name w:val="xl5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822">
    <w:name w:val="xl7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rPr>
  </w:style>
  <w:style w:type="paragraph" w:customStyle="1" w:styleId="823">
    <w:name w:val="font3"/>
    <w:basedOn w:val="1"/>
    <w:uiPriority w:val="0"/>
    <w:pPr>
      <w:spacing w:before="100" w:beforeAutospacing="1" w:after="100" w:afterAutospacing="1"/>
      <w:jc w:val="left"/>
    </w:pPr>
    <w:rPr>
      <w:rFonts w:ascii="宋体" w:hAnsi="宋体" w:cs="宋体"/>
      <w:color w:val="000000"/>
      <w:kern w:val="0"/>
      <w:sz w:val="22"/>
      <w:szCs w:val="22"/>
    </w:rPr>
  </w:style>
  <w:style w:type="paragraph" w:customStyle="1" w:styleId="824">
    <w:name w:val="项目编号样式"/>
    <w:next w:val="387"/>
    <w:uiPriority w:val="0"/>
    <w:pPr>
      <w:tabs>
        <w:tab w:val="left" w:pos="0"/>
      </w:tabs>
      <w:ind w:firstLine="560"/>
      <w:jc w:val="both"/>
    </w:pPr>
    <w:rPr>
      <w:rFonts w:ascii="Times New Roman" w:hAnsi="Times New Roman" w:eastAsia="宋体" w:cs="Times New Roman"/>
      <w:bCs/>
      <w:kern w:val="2"/>
      <w:sz w:val="28"/>
      <w:szCs w:val="32"/>
      <w:lang w:val="en-US" w:eastAsia="zh-CN" w:bidi="ar-SA"/>
    </w:rPr>
  </w:style>
  <w:style w:type="paragraph" w:customStyle="1" w:styleId="825">
    <w:name w:val="xl9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eastAsia="仿宋_GB2312" w:cs="宋体"/>
      <w:color w:val="000000"/>
      <w:kern w:val="0"/>
      <w:sz w:val="20"/>
    </w:rPr>
  </w:style>
  <w:style w:type="paragraph" w:customStyle="1" w:styleId="826">
    <w:name w:val="xl51"/>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Cs w:val="21"/>
    </w:rPr>
  </w:style>
  <w:style w:type="paragraph" w:customStyle="1" w:styleId="827">
    <w:name w:val="xl8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rPr>
  </w:style>
  <w:style w:type="paragraph" w:customStyle="1" w:styleId="828">
    <w:name w:val="xl24"/>
    <w:basedOn w:val="1"/>
    <w:uiPriority w:val="0"/>
    <w:pPr>
      <w:pBdr>
        <w:bottom w:val="single" w:color="auto" w:sz="4" w:space="0"/>
        <w:right w:val="single" w:color="auto" w:sz="4" w:space="0"/>
      </w:pBdr>
      <w:spacing w:before="100" w:beforeAutospacing="1" w:after="100" w:afterAutospacing="1"/>
      <w:jc w:val="center"/>
      <w:textAlignment w:val="top"/>
    </w:pPr>
    <w:rPr>
      <w:rFonts w:eastAsia="仿宋_GB2312"/>
      <w:kern w:val="0"/>
      <w:sz w:val="24"/>
      <w:szCs w:val="24"/>
    </w:rPr>
  </w:style>
  <w:style w:type="paragraph" w:customStyle="1" w:styleId="829">
    <w:name w:val="样式 paragraph-1 + (西文) Times New Roman (中文) 宋体 小四 首行缩进:  2 字符1"/>
    <w:basedOn w:val="141"/>
    <w:uiPriority w:val="0"/>
    <w:pPr>
      <w:ind w:firstLine="480"/>
    </w:pPr>
    <w:rPr>
      <w:rFonts w:ascii="Times New Roman" w:hAnsi="Times New Roman" w:cs="宋体"/>
      <w:sz w:val="24"/>
      <w:szCs w:val="20"/>
    </w:rPr>
  </w:style>
  <w:style w:type="paragraph" w:customStyle="1" w:styleId="830">
    <w:name w:val="正文段落"/>
    <w:basedOn w:val="1"/>
    <w:uiPriority w:val="0"/>
    <w:pPr>
      <w:widowControl w:val="0"/>
      <w:spacing w:line="360" w:lineRule="auto"/>
      <w:ind w:firstLine="200" w:firstLineChars="200"/>
    </w:pPr>
    <w:rPr>
      <w:sz w:val="24"/>
      <w:szCs w:val="24"/>
    </w:rPr>
  </w:style>
  <w:style w:type="paragraph" w:customStyle="1" w:styleId="831">
    <w:name w:val="p0"/>
    <w:basedOn w:val="1"/>
    <w:uiPriority w:val="0"/>
    <w:rPr>
      <w:kern w:val="0"/>
      <w:szCs w:val="21"/>
    </w:rPr>
  </w:style>
  <w:style w:type="paragraph" w:customStyle="1" w:styleId="832">
    <w:name w:val="封皮5"/>
    <w:basedOn w:val="1"/>
    <w:uiPriority w:val="0"/>
    <w:pPr>
      <w:widowControl w:val="0"/>
      <w:jc w:val="center"/>
    </w:pPr>
    <w:rPr>
      <w:rFonts w:eastAsia="华文行楷"/>
      <w:spacing w:val="76"/>
      <w:sz w:val="32"/>
      <w:szCs w:val="32"/>
    </w:rPr>
  </w:style>
  <w:style w:type="paragraph" w:customStyle="1" w:styleId="833">
    <w:name w:val="正文缩进4"/>
    <w:basedOn w:val="1"/>
    <w:uiPriority w:val="0"/>
    <w:pPr>
      <w:widowControl w:val="0"/>
      <w:ind w:firstLine="420" w:firstLineChars="200"/>
    </w:pPr>
    <w:rPr>
      <w:rFonts w:eastAsia="仿宋_GB2312"/>
      <w:sz w:val="24"/>
      <w:szCs w:val="24"/>
    </w:rPr>
  </w:style>
  <w:style w:type="paragraph" w:customStyle="1" w:styleId="834">
    <w:name w:val="样式 项目行Alt+Ctrl+X + 段后: 0.5 行4"/>
    <w:basedOn w:val="1"/>
    <w:uiPriority w:val="0"/>
    <w:pPr>
      <w:widowControl w:val="0"/>
      <w:tabs>
        <w:tab w:val="left" w:pos="1080"/>
      </w:tabs>
      <w:spacing w:afterLines="50" w:line="360" w:lineRule="auto"/>
      <w:ind w:left="900" w:firstLine="200" w:firstLineChars="200"/>
    </w:pPr>
    <w:rPr>
      <w:rFonts w:cs="宋体"/>
      <w:sz w:val="24"/>
    </w:rPr>
  </w:style>
  <w:style w:type="paragraph" w:customStyle="1" w:styleId="835">
    <w:name w:val="表中文字"/>
    <w:uiPriority w:val="0"/>
    <w:pPr>
      <w:adjustRightInd w:val="0"/>
      <w:snapToGrid w:val="0"/>
      <w:spacing w:line="300" w:lineRule="exact"/>
      <w:jc w:val="center"/>
    </w:pPr>
    <w:rPr>
      <w:rFonts w:ascii="Times New Roman" w:hAnsi="Times New Roman" w:eastAsia="华文中宋" w:cs="Times New Roman"/>
      <w:sz w:val="18"/>
      <w:lang w:val="en-US" w:eastAsia="zh-CN" w:bidi="ar-SA"/>
    </w:rPr>
  </w:style>
  <w:style w:type="paragraph" w:customStyle="1" w:styleId="836">
    <w:name w:val="目录1"/>
    <w:basedOn w:val="43"/>
    <w:uiPriority w:val="0"/>
    <w:pPr>
      <w:widowControl w:val="0"/>
      <w:tabs>
        <w:tab w:val="left" w:pos="420"/>
        <w:tab w:val="left" w:pos="1200"/>
        <w:tab w:val="right" w:leader="dot" w:pos="9150"/>
        <w:tab w:val="right" w:leader="dot" w:pos="9736"/>
      </w:tabs>
      <w:spacing w:before="100" w:beforeAutospacing="1" w:after="100" w:afterAutospacing="1" w:line="360" w:lineRule="auto"/>
      <w:ind w:right="81" w:rightChars="27"/>
      <w:jc w:val="left"/>
    </w:pPr>
    <w:rPr>
      <w:rFonts w:ascii="宋体" w:hAnsi="宋体"/>
      <w:caps/>
      <w:sz w:val="24"/>
    </w:rPr>
  </w:style>
  <w:style w:type="paragraph" w:customStyle="1" w:styleId="837">
    <w:name w:val="样式 标题 2H22nd levelh22Header 2l2Titre2Head 2List level 2...1"/>
    <w:basedOn w:val="3"/>
    <w:uiPriority w:val="0"/>
    <w:pPr>
      <w:widowControl w:val="0"/>
      <w:tabs>
        <w:tab w:val="left" w:pos="720"/>
      </w:tabs>
      <w:spacing w:before="0" w:after="0" w:line="240" w:lineRule="auto"/>
    </w:pPr>
    <w:rPr>
      <w:rFonts w:ascii="Times New Roman" w:hAnsi="Times New Roman" w:eastAsia="仿宋_GB2312" w:cs="宋体"/>
      <w:b w:val="0"/>
      <w:bCs w:val="0"/>
      <w:sz w:val="28"/>
      <w:szCs w:val="20"/>
    </w:rPr>
  </w:style>
  <w:style w:type="paragraph" w:customStyle="1" w:styleId="838">
    <w:name w:val="6"/>
    <w:uiPriority w:val="0"/>
    <w:pPr>
      <w:widowControl w:val="0"/>
      <w:jc w:val="both"/>
    </w:pPr>
    <w:rPr>
      <w:rFonts w:ascii="Times New Roman" w:hAnsi="Times New Roman" w:eastAsia="仿宋_GB2312" w:cs="Times New Roman"/>
      <w:kern w:val="2"/>
      <w:sz w:val="24"/>
      <w:szCs w:val="24"/>
      <w:lang w:val="en-US" w:eastAsia="zh-CN" w:bidi="ar-SA"/>
    </w:rPr>
  </w:style>
  <w:style w:type="paragraph" w:customStyle="1" w:styleId="839">
    <w:name w:val="正文(图标题)"/>
    <w:basedOn w:val="1"/>
    <w:uiPriority w:val="0"/>
    <w:pPr>
      <w:widowControl w:val="0"/>
      <w:spacing w:beforeLines="30" w:afterLines="30" w:line="460" w:lineRule="exact"/>
      <w:jc w:val="center"/>
    </w:pPr>
    <w:rPr>
      <w:rFonts w:ascii="宋体" w:eastAsia="仿宋_GB2312"/>
      <w:b/>
      <w:bCs/>
      <w:sz w:val="24"/>
    </w:rPr>
  </w:style>
  <w:style w:type="paragraph" w:customStyle="1" w:styleId="840">
    <w:name w:val="！项目符号2级"/>
    <w:basedOn w:val="1"/>
    <w:uiPriority w:val="0"/>
    <w:pPr>
      <w:widowControl w:val="0"/>
      <w:spacing w:beforeLines="50" w:afterLines="50"/>
      <w:ind w:left="567"/>
    </w:pPr>
    <w:rPr>
      <w:rFonts w:eastAsia="仿宋_GB2312" w:cs="宋体"/>
      <w:kern w:val="0"/>
      <w:sz w:val="24"/>
    </w:rPr>
  </w:style>
  <w:style w:type="paragraph" w:customStyle="1" w:styleId="841">
    <w:name w:val="8"/>
    <w:uiPriority w:val="0"/>
    <w:pPr>
      <w:widowControl w:val="0"/>
      <w:jc w:val="both"/>
    </w:pPr>
    <w:rPr>
      <w:rFonts w:ascii="Times New Roman" w:hAnsi="Times New Roman" w:eastAsia="仿宋_GB2312" w:cs="Times New Roman"/>
      <w:kern w:val="2"/>
      <w:sz w:val="24"/>
      <w:szCs w:val="24"/>
      <w:lang w:val="en-US" w:eastAsia="zh-CN" w:bidi="ar-SA"/>
    </w:rPr>
  </w:style>
  <w:style w:type="paragraph" w:customStyle="1" w:styleId="842">
    <w:name w:val="表格1"/>
    <w:basedOn w:val="1"/>
    <w:next w:val="99"/>
    <w:uiPriority w:val="0"/>
    <w:pPr>
      <w:widowControl w:val="0"/>
      <w:spacing w:line="240" w:lineRule="atLeast"/>
      <w:jc w:val="left"/>
    </w:pPr>
    <w:rPr>
      <w:rFonts w:ascii="宋体"/>
      <w:kern w:val="24"/>
      <w:szCs w:val="24"/>
    </w:rPr>
  </w:style>
  <w:style w:type="paragraph" w:customStyle="1" w:styleId="843">
    <w:name w:val="文档名称(附)"/>
    <w:basedOn w:val="1"/>
    <w:uiPriority w:val="0"/>
    <w:pPr>
      <w:widowControl w:val="0"/>
      <w:spacing w:line="360" w:lineRule="exact"/>
      <w:jc w:val="center"/>
    </w:pPr>
    <w:rPr>
      <w:rFonts w:eastAsia="仿宋_GB2312"/>
      <w:sz w:val="28"/>
      <w:szCs w:val="24"/>
    </w:rPr>
  </w:style>
  <w:style w:type="paragraph" w:customStyle="1" w:styleId="844">
    <w:name w:val="样式 标题 3第二层条Chapter X.X.X.sect1.2.3h33H3Heading 3 - oldCT...1"/>
    <w:basedOn w:val="4"/>
    <w:next w:val="1"/>
    <w:uiPriority w:val="0"/>
    <w:pPr>
      <w:widowControl w:val="0"/>
      <w:spacing w:before="0" w:after="0" w:line="240" w:lineRule="auto"/>
      <w:jc w:val="left"/>
    </w:pPr>
    <w:rPr>
      <w:rFonts w:eastAsia="黑体" w:cs="宋体"/>
      <w:sz w:val="30"/>
      <w:szCs w:val="20"/>
    </w:rPr>
  </w:style>
  <w:style w:type="paragraph" w:customStyle="1" w:styleId="845">
    <w:name w:val="T中文图"/>
    <w:basedOn w:val="1"/>
    <w:uiPriority w:val="0"/>
    <w:pPr>
      <w:widowControl w:val="0"/>
      <w:jc w:val="center"/>
    </w:pPr>
    <w:rPr>
      <w:rFonts w:eastAsia="黑体"/>
      <w:bCs/>
      <w:sz w:val="18"/>
      <w:szCs w:val="24"/>
    </w:rPr>
  </w:style>
  <w:style w:type="paragraph" w:customStyle="1" w:styleId="846">
    <w:name w:val="公式1"/>
    <w:basedOn w:val="99"/>
    <w:next w:val="99"/>
    <w:uiPriority w:val="0"/>
    <w:pPr>
      <w:tabs>
        <w:tab w:val="clear" w:pos="2160"/>
      </w:tabs>
      <w:adjustRightInd/>
      <w:spacing w:line="480" w:lineRule="auto"/>
      <w:jc w:val="both"/>
      <w:textAlignment w:val="auto"/>
    </w:pPr>
    <w:rPr>
      <w:rFonts w:ascii="Times New Roman" w:eastAsia="宋体" w:cs="宋体"/>
      <w:kern w:val="44"/>
      <w:sz w:val="24"/>
      <w:szCs w:val="24"/>
    </w:rPr>
  </w:style>
  <w:style w:type="paragraph" w:customStyle="1" w:styleId="847">
    <w:name w:val="table-name"/>
    <w:basedOn w:val="1"/>
    <w:uiPriority w:val="0"/>
    <w:pPr>
      <w:widowControl w:val="0"/>
      <w:spacing w:beforeLines="100"/>
      <w:jc w:val="center"/>
    </w:pPr>
    <w:rPr>
      <w:rFonts w:ascii="Calibri" w:hAnsi="Calibri" w:eastAsia="黑体"/>
      <w:sz w:val="24"/>
      <w:szCs w:val="22"/>
    </w:rPr>
  </w:style>
  <w:style w:type="paragraph" w:customStyle="1" w:styleId="848">
    <w:name w:val="Item Step in Table"/>
    <w:uiPriority w:val="0"/>
    <w:pPr>
      <w:tabs>
        <w:tab w:val="left" w:pos="2041"/>
      </w:tabs>
      <w:spacing w:before="40" w:after="40"/>
      <w:ind w:left="2041" w:hanging="680"/>
      <w:jc w:val="both"/>
    </w:pPr>
    <w:rPr>
      <w:rFonts w:ascii="Arial" w:hAnsi="Arial" w:eastAsia="宋体" w:cs="Arial"/>
      <w:sz w:val="18"/>
      <w:szCs w:val="18"/>
      <w:lang w:val="en-US" w:eastAsia="zh-CN" w:bidi="ar-SA"/>
    </w:rPr>
  </w:style>
  <w:style w:type="paragraph" w:customStyle="1" w:styleId="849">
    <w:name w:val="字元1"/>
    <w:basedOn w:val="20"/>
    <w:uiPriority w:val="0"/>
    <w:pPr>
      <w:widowControl w:val="0"/>
      <w:shd w:val="clear" w:color="auto" w:fill="000080"/>
    </w:pPr>
    <w:rPr>
      <w:rFonts w:ascii="Tahoma" w:hAnsi="Tahoma" w:eastAsia="仿宋_GB2312"/>
      <w:sz w:val="24"/>
      <w:szCs w:val="24"/>
    </w:rPr>
  </w:style>
  <w:style w:type="paragraph" w:customStyle="1" w:styleId="850">
    <w:name w:val="正文（表格）"/>
    <w:basedOn w:val="1"/>
    <w:uiPriority w:val="0"/>
    <w:pPr>
      <w:widowControl w:val="0"/>
      <w:jc w:val="left"/>
    </w:pPr>
    <w:rPr>
      <w:rFonts w:ascii="宋体" w:hAnsi="宋体" w:eastAsia="仿宋_GB2312"/>
      <w:sz w:val="18"/>
      <w:szCs w:val="21"/>
    </w:rPr>
  </w:style>
  <w:style w:type="paragraph" w:customStyle="1" w:styleId="851">
    <w:name w:val="样式 小四 行距: 1.5 倍行距1"/>
    <w:basedOn w:val="1"/>
    <w:uiPriority w:val="0"/>
    <w:pPr>
      <w:widowControl w:val="0"/>
      <w:adjustRightInd w:val="0"/>
      <w:spacing w:line="360" w:lineRule="auto"/>
      <w:ind w:firstLine="360" w:firstLineChars="150"/>
      <w:textAlignment w:val="baseline"/>
    </w:pPr>
    <w:rPr>
      <w:rFonts w:eastAsia="仿宋_GB2312" w:cs="宋体"/>
      <w:sz w:val="28"/>
      <w:szCs w:val="28"/>
    </w:rPr>
  </w:style>
  <w:style w:type="paragraph" w:customStyle="1" w:styleId="852">
    <w:name w:val="样式 标题 3H3Heading 3 - oldh3sect1.2.3BOD 0标题 3 Char Char Cha..."/>
    <w:basedOn w:val="4"/>
    <w:uiPriority w:val="0"/>
    <w:pPr>
      <w:widowControl w:val="0"/>
      <w:spacing w:line="415" w:lineRule="auto"/>
    </w:pPr>
    <w:rPr>
      <w:rFonts w:ascii="仿宋_GB2312" w:hAnsi="仿宋_GB2312" w:eastAsia="仿宋_GB2312"/>
      <w:sz w:val="30"/>
    </w:rPr>
  </w:style>
  <w:style w:type="paragraph" w:customStyle="1" w:styleId="853">
    <w:name w:val="样式 标题 2 + 左侧:  0 厘米 悬挂缩进: 5.76 字符 行距: 多倍行距 1.25 字行"/>
    <w:basedOn w:val="1"/>
    <w:uiPriority w:val="0"/>
    <w:pPr>
      <w:widowControl w:val="0"/>
      <w:tabs>
        <w:tab w:val="left" w:pos="567"/>
      </w:tabs>
      <w:spacing w:line="360" w:lineRule="auto"/>
      <w:ind w:left="567" w:hanging="567"/>
    </w:pPr>
    <w:rPr>
      <w:rFonts w:eastAsia="仿宋_GB2312"/>
      <w:sz w:val="28"/>
      <w:szCs w:val="24"/>
    </w:rPr>
  </w:style>
  <w:style w:type="paragraph" w:customStyle="1" w:styleId="854">
    <w:name w:val="附录"/>
    <w:basedOn w:val="1"/>
    <w:next w:val="1"/>
    <w:uiPriority w:val="0"/>
    <w:pPr>
      <w:widowControl w:val="0"/>
      <w:spacing w:line="520" w:lineRule="exact"/>
      <w:ind w:left="425" w:hanging="425"/>
    </w:pPr>
    <w:rPr>
      <w:rFonts w:eastAsia="黑体"/>
      <w:b/>
      <w:sz w:val="44"/>
      <w:szCs w:val="28"/>
    </w:rPr>
  </w:style>
  <w:style w:type="paragraph" w:customStyle="1" w:styleId="855">
    <w:name w:val="样式 标题 3第二层条Chapter X.X.X.sect1.2.3h33H3Heading 3 - oldCT..."/>
    <w:basedOn w:val="4"/>
    <w:uiPriority w:val="0"/>
    <w:pPr>
      <w:widowControl w:val="0"/>
      <w:spacing w:before="0" w:after="0" w:line="240" w:lineRule="auto"/>
    </w:pPr>
    <w:rPr>
      <w:rFonts w:eastAsia="黑体" w:cs="宋体"/>
      <w:sz w:val="30"/>
      <w:szCs w:val="20"/>
    </w:rPr>
  </w:style>
  <w:style w:type="paragraph" w:customStyle="1" w:styleId="856">
    <w:name w:val="正文样式"/>
    <w:basedOn w:val="1"/>
    <w:uiPriority w:val="0"/>
    <w:pPr>
      <w:widowControl w:val="0"/>
      <w:spacing w:line="480" w:lineRule="exact"/>
      <w:ind w:firstLine="504" w:firstLineChars="210"/>
    </w:pPr>
    <w:rPr>
      <w:rFonts w:eastAsia="仿宋_GB2312"/>
      <w:sz w:val="24"/>
      <w:szCs w:val="24"/>
    </w:rPr>
  </w:style>
  <w:style w:type="paragraph" w:customStyle="1" w:styleId="857">
    <w:name w:val="Char6"/>
    <w:basedOn w:val="1"/>
    <w:uiPriority w:val="0"/>
    <w:pPr>
      <w:widowControl w:val="0"/>
    </w:pPr>
    <w:rPr>
      <w:szCs w:val="24"/>
    </w:rPr>
  </w:style>
  <w:style w:type="paragraph" w:customStyle="1" w:styleId="858">
    <w:name w:val="封面时间"/>
    <w:basedOn w:val="361"/>
    <w:uiPriority w:val="0"/>
    <w:rPr>
      <w:sz w:val="30"/>
      <w:szCs w:val="32"/>
    </w:rPr>
  </w:style>
  <w:style w:type="paragraph" w:customStyle="1" w:styleId="859">
    <w:name w:val="自定表头"/>
    <w:basedOn w:val="1"/>
    <w:qFormat/>
    <w:uiPriority w:val="0"/>
    <w:pPr>
      <w:widowControl w:val="0"/>
      <w:spacing w:line="360" w:lineRule="auto"/>
      <w:ind w:firstLine="520" w:firstLineChars="200"/>
    </w:pPr>
    <w:rPr>
      <w:rFonts w:ascii="黑体" w:hAnsi="黑体" w:eastAsia="黑体"/>
      <w:spacing w:val="10"/>
      <w:sz w:val="24"/>
      <w:szCs w:val="24"/>
    </w:rPr>
  </w:style>
  <w:style w:type="paragraph" w:customStyle="1" w:styleId="860">
    <w:name w:val="表头lr"/>
    <w:basedOn w:val="1"/>
    <w:qFormat/>
    <w:uiPriority w:val="0"/>
    <w:pPr>
      <w:widowControl w:val="0"/>
      <w:spacing w:line="360" w:lineRule="auto"/>
      <w:jc w:val="left"/>
    </w:pPr>
    <w:rPr>
      <w:rFonts w:eastAsia="仿宋_GB2312"/>
      <w:b/>
      <w:bCs/>
      <w:kern w:val="0"/>
      <w:sz w:val="28"/>
      <w:szCs w:val="24"/>
    </w:rPr>
  </w:style>
  <w:style w:type="paragraph" w:customStyle="1" w:styleId="861">
    <w:name w:val="表格标题"/>
    <w:basedOn w:val="1"/>
    <w:uiPriority w:val="0"/>
    <w:pPr>
      <w:widowControl w:val="0"/>
      <w:tabs>
        <w:tab w:val="left" w:pos="495"/>
      </w:tabs>
      <w:jc w:val="center"/>
    </w:pPr>
    <w:rPr>
      <w:kern w:val="0"/>
      <w:sz w:val="28"/>
      <w:szCs w:val="24"/>
    </w:rPr>
  </w:style>
  <w:style w:type="paragraph" w:customStyle="1" w:styleId="862">
    <w:name w:val="标题 2.1"/>
    <w:basedOn w:val="3"/>
    <w:uiPriority w:val="0"/>
    <w:pPr>
      <w:keepNext w:val="0"/>
      <w:keepLines w:val="0"/>
      <w:widowControl w:val="0"/>
      <w:tabs>
        <w:tab w:val="left" w:pos="360"/>
        <w:tab w:val="left" w:pos="465"/>
      </w:tabs>
      <w:autoSpaceDE w:val="0"/>
      <w:autoSpaceDN w:val="0"/>
      <w:adjustRightInd w:val="0"/>
      <w:spacing w:before="240" w:after="0" w:line="240" w:lineRule="auto"/>
      <w:ind w:left="360" w:hanging="360"/>
      <w:jc w:val="center"/>
    </w:pPr>
    <w:rPr>
      <w:rFonts w:ascii="黑体" w:hAnsi="Times New Roman" w:eastAsia="黑体"/>
      <w:b w:val="0"/>
      <w:bCs w:val="0"/>
      <w:kern w:val="0"/>
      <w:sz w:val="30"/>
      <w:szCs w:val="30"/>
    </w:rPr>
  </w:style>
  <w:style w:type="paragraph" w:customStyle="1" w:styleId="863">
    <w:name w:val="样式 标题 2标题 2 Char Char Char标题 2 Char Char标题 2 Char + (西文) Time..."/>
    <w:basedOn w:val="3"/>
    <w:uiPriority w:val="0"/>
    <w:pPr>
      <w:widowControl w:val="0"/>
      <w:tabs>
        <w:tab w:val="left" w:pos="495"/>
        <w:tab w:val="left" w:pos="576"/>
      </w:tabs>
      <w:spacing w:before="240" w:after="240" w:line="180" w:lineRule="auto"/>
      <w:ind w:left="576" w:hanging="576"/>
      <w:jc w:val="left"/>
    </w:pPr>
    <w:rPr>
      <w:rFonts w:ascii="Times New Roman" w:hAnsi="Times New Roman" w:eastAsia="黑体"/>
      <w:bCs w:val="0"/>
      <w:spacing w:val="8"/>
    </w:rPr>
  </w:style>
  <w:style w:type="paragraph" w:customStyle="1" w:styleId="864">
    <w:name w:val="标题4(cht）"/>
    <w:basedOn w:val="1"/>
    <w:uiPriority w:val="0"/>
    <w:pPr>
      <w:widowControl w:val="0"/>
      <w:snapToGrid w:val="0"/>
      <w:spacing w:line="400" w:lineRule="exact"/>
    </w:pPr>
    <w:rPr>
      <w:sz w:val="24"/>
    </w:rPr>
  </w:style>
  <w:style w:type="paragraph" w:customStyle="1" w:styleId="865">
    <w:name w:val="正文2编号"/>
    <w:basedOn w:val="1"/>
    <w:uiPriority w:val="0"/>
    <w:pPr>
      <w:widowControl w:val="0"/>
      <w:spacing w:line="360" w:lineRule="auto"/>
      <w:ind w:left="400" w:leftChars="200" w:hanging="200" w:hangingChars="200"/>
    </w:pPr>
    <w:rPr>
      <w:rFonts w:ascii="宋体"/>
      <w:sz w:val="24"/>
      <w:szCs w:val="24"/>
    </w:rPr>
  </w:style>
  <w:style w:type="character" w:customStyle="1" w:styleId="866">
    <w:name w:val="文档结构图 Char1"/>
    <w:basedOn w:val="70"/>
    <w:uiPriority w:val="99"/>
    <w:rPr>
      <w:rFonts w:ascii="宋体" w:eastAsia="宋体"/>
      <w:sz w:val="18"/>
      <w:szCs w:val="18"/>
    </w:rPr>
  </w:style>
  <w:style w:type="character" w:customStyle="1" w:styleId="867">
    <w:name w:val="正文格式 Char Char"/>
    <w:link w:val="431"/>
    <w:qFormat/>
    <w:locked/>
    <w:uiPriority w:val="99"/>
    <w:rPr>
      <w:rFonts w:ascii="Times New Roman" w:hAnsi="Times New Roman" w:eastAsia="仿宋_GB2312" w:cs="Times New Roman"/>
      <w:kern w:val="2"/>
      <w:sz w:val="28"/>
      <w:szCs w:val="24"/>
    </w:rPr>
  </w:style>
  <w:style w:type="character" w:customStyle="1" w:styleId="868">
    <w:name w:val="unnamed1"/>
    <w:uiPriority w:val="99"/>
    <w:rPr>
      <w:rFonts w:cs="Times New Roman"/>
    </w:rPr>
  </w:style>
  <w:style w:type="character" w:customStyle="1" w:styleId="869">
    <w:name w:val="标准正文 Char"/>
    <w:link w:val="372"/>
    <w:uiPriority w:val="0"/>
    <w:rPr>
      <w:rFonts w:ascii="仿宋_GB2312" w:hAnsi="Calibri" w:eastAsia="仿宋_GB2312" w:cs="Times New Roman"/>
      <w:kern w:val="2"/>
      <w:sz w:val="24"/>
    </w:rPr>
  </w:style>
  <w:style w:type="character" w:customStyle="1" w:styleId="870">
    <w:name w:val="表格 Char"/>
    <w:link w:val="760"/>
    <w:locked/>
    <w:uiPriority w:val="99"/>
    <w:rPr>
      <w:rFonts w:ascii="Times New Roman" w:hAnsi="Times New Roman" w:eastAsia="宋体" w:cs="Times New Roman"/>
      <w:spacing w:val="4"/>
      <w:sz w:val="21"/>
    </w:rPr>
  </w:style>
  <w:style w:type="character" w:customStyle="1" w:styleId="871">
    <w:name w:val="批注主题 Char1"/>
    <w:basedOn w:val="107"/>
    <w:uiPriority w:val="99"/>
    <w:rPr>
      <w:b/>
      <w:bCs/>
      <w:kern w:val="2"/>
      <w:sz w:val="21"/>
    </w:rPr>
  </w:style>
  <w:style w:type="character" w:customStyle="1" w:styleId="872">
    <w:name w:val="批注框文本 Char1"/>
    <w:basedOn w:val="70"/>
    <w:uiPriority w:val="99"/>
    <w:rPr>
      <w:sz w:val="18"/>
      <w:szCs w:val="18"/>
    </w:rPr>
  </w:style>
  <w:style w:type="character" w:customStyle="1" w:styleId="873">
    <w:name w:val="标题 4 Char1 Char Char Char Char Char Char Char Char Char Char Char Char Char Char Char Char Char Char Char Char Char Char Char Char Char Char Char Char Char Char Char Char Char Char Char Char Char Char Char Char Char Char Char Char Char Char Char Char"/>
    <w:uiPriority w:val="99"/>
    <w:rPr>
      <w:rFonts w:ascii="宋体" w:hAnsi="宋体" w:eastAsia="宋体"/>
      <w:b/>
      <w:kern w:val="2"/>
      <w:sz w:val="24"/>
      <w:lang w:val="en-US" w:eastAsia="zh-CN"/>
    </w:rPr>
  </w:style>
  <w:style w:type="character" w:customStyle="1" w:styleId="874">
    <w:name w:val="正文首行缩进 Char1"/>
    <w:basedOn w:val="191"/>
    <w:uiPriority w:val="99"/>
    <w:rPr>
      <w:rFonts w:ascii="Times New Roman" w:hAnsi="Times New Roman" w:eastAsia="仿宋_GB2312"/>
      <w:kern w:val="2"/>
      <w:sz w:val="28"/>
      <w:szCs w:val="24"/>
    </w:rPr>
  </w:style>
  <w:style w:type="character" w:customStyle="1" w:styleId="875">
    <w:name w:val="普通文字 Char Char3"/>
    <w:uiPriority w:val="99"/>
    <w:rPr>
      <w:rFonts w:ascii="宋体" w:hAnsi="Courier New"/>
      <w:kern w:val="2"/>
      <w:sz w:val="21"/>
    </w:rPr>
  </w:style>
  <w:style w:type="character" w:customStyle="1" w:styleId="876">
    <w:name w:val="Font Style281"/>
    <w:uiPriority w:val="99"/>
    <w:rPr>
      <w:rFonts w:ascii="Arial" w:hAnsi="Arial"/>
      <w:b/>
      <w:sz w:val="16"/>
    </w:rPr>
  </w:style>
  <w:style w:type="paragraph" w:customStyle="1" w:styleId="877">
    <w:name w:val="段标题"/>
    <w:basedOn w:val="1"/>
    <w:next w:val="1"/>
    <w:uiPriority w:val="99"/>
    <w:pPr>
      <w:widowControl w:val="0"/>
      <w:tabs>
        <w:tab w:val="left" w:pos="737"/>
        <w:tab w:val="left" w:pos="840"/>
      </w:tabs>
      <w:spacing w:line="360" w:lineRule="auto"/>
      <w:ind w:left="840" w:leftChars="200" w:hanging="840" w:firstLineChars="200"/>
    </w:pPr>
    <w:rPr>
      <w:rFonts w:ascii="Arial" w:hAnsi="Arial"/>
      <w:b/>
      <w:sz w:val="28"/>
    </w:rPr>
  </w:style>
  <w:style w:type="paragraph" w:customStyle="1" w:styleId="878">
    <w:name w:val="正文4编0"/>
    <w:basedOn w:val="1"/>
    <w:uiPriority w:val="99"/>
    <w:pPr>
      <w:widowControl w:val="0"/>
      <w:tabs>
        <w:tab w:val="left" w:pos="567"/>
        <w:tab w:val="left" w:pos="840"/>
        <w:tab w:val="left" w:pos="1134"/>
      </w:tabs>
      <w:spacing w:line="560" w:lineRule="exact"/>
      <w:ind w:left="840" w:leftChars="200" w:hanging="840" w:firstLineChars="200"/>
    </w:pPr>
    <w:rPr>
      <w:sz w:val="28"/>
    </w:rPr>
  </w:style>
  <w:style w:type="paragraph" w:customStyle="1" w:styleId="879">
    <w:name w:val="章节"/>
    <w:basedOn w:val="2"/>
    <w:uiPriority w:val="99"/>
    <w:pPr>
      <w:widowControl w:val="0"/>
      <w:tabs>
        <w:tab w:val="left" w:pos="0"/>
        <w:tab w:val="left" w:pos="840"/>
      </w:tabs>
      <w:snapToGrid w:val="0"/>
      <w:spacing w:before="0" w:after="0" w:line="360" w:lineRule="auto"/>
      <w:ind w:left="840" w:leftChars="200" w:hanging="840" w:firstLineChars="200"/>
      <w:jc w:val="center"/>
    </w:pPr>
    <w:rPr>
      <w:rFonts w:ascii="黑体" w:eastAsia="黑体"/>
      <w:b w:val="0"/>
      <w:bCs/>
      <w:color w:val="0000FF"/>
      <w:position w:val="20"/>
      <w:sz w:val="32"/>
    </w:rPr>
  </w:style>
  <w:style w:type="paragraph" w:customStyle="1" w:styleId="880">
    <w:name w:val="第一行"/>
    <w:basedOn w:val="1"/>
    <w:uiPriority w:val="99"/>
    <w:pPr>
      <w:widowControl w:val="0"/>
      <w:spacing w:beforeLines="100" w:line="360" w:lineRule="auto"/>
      <w:ind w:left="200" w:leftChars="200" w:firstLine="200" w:firstLineChars="200"/>
      <w:jc w:val="center"/>
    </w:pPr>
    <w:rPr>
      <w:rFonts w:ascii="宋体" w:cs="宋体"/>
      <w:b/>
      <w:bCs/>
      <w:sz w:val="32"/>
      <w:szCs w:val="32"/>
    </w:rPr>
  </w:style>
  <w:style w:type="paragraph" w:customStyle="1" w:styleId="881">
    <w:name w:val="正文缩进0.74"/>
    <w:basedOn w:val="1"/>
    <w:uiPriority w:val="99"/>
    <w:pPr>
      <w:widowControl w:val="0"/>
      <w:spacing w:line="240" w:lineRule="atLeast"/>
      <w:ind w:left="200" w:leftChars="200" w:firstLine="420" w:firstLineChars="200"/>
    </w:pPr>
    <w:rPr>
      <w:sz w:val="24"/>
      <w:szCs w:val="21"/>
    </w:rPr>
  </w:style>
  <w:style w:type="paragraph" w:customStyle="1" w:styleId="882">
    <w:name w:val="1.1点"/>
    <w:basedOn w:val="1"/>
    <w:uiPriority w:val="99"/>
    <w:pPr>
      <w:widowControl w:val="0"/>
      <w:spacing w:line="360" w:lineRule="auto"/>
      <w:ind w:left="200" w:leftChars="200" w:firstLine="200" w:firstLineChars="200"/>
    </w:pPr>
    <w:rPr>
      <w:rFonts w:ascii="Arial" w:hAnsi="Arial"/>
      <w:sz w:val="24"/>
    </w:rPr>
  </w:style>
  <w:style w:type="paragraph" w:customStyle="1" w:styleId="883">
    <w:name w:val="第三行"/>
    <w:basedOn w:val="1"/>
    <w:uiPriority w:val="99"/>
    <w:pPr>
      <w:widowControl w:val="0"/>
      <w:spacing w:beforeLines="200" w:line="360" w:lineRule="auto"/>
      <w:ind w:left="200" w:leftChars="200" w:firstLine="200" w:firstLineChars="200"/>
      <w:jc w:val="center"/>
    </w:pPr>
    <w:rPr>
      <w:rFonts w:ascii="楷体_GB2312" w:eastAsia="楷体_GB2312" w:cs="楷体_GB2312"/>
      <w:b/>
      <w:bCs/>
      <w:sz w:val="48"/>
      <w:szCs w:val="48"/>
    </w:rPr>
  </w:style>
  <w:style w:type="paragraph" w:customStyle="1" w:styleId="884">
    <w:name w:val="第七行"/>
    <w:basedOn w:val="1"/>
    <w:uiPriority w:val="99"/>
    <w:pPr>
      <w:widowControl w:val="0"/>
      <w:spacing w:beforeLines="100" w:line="360" w:lineRule="auto"/>
      <w:ind w:left="420" w:leftChars="200" w:firstLine="420" w:firstLineChars="200"/>
    </w:pPr>
    <w:rPr>
      <w:rFonts w:ascii="宋体" w:cs="宋体"/>
      <w:b/>
      <w:bCs/>
      <w:sz w:val="28"/>
      <w:szCs w:val="28"/>
    </w:rPr>
  </w:style>
  <w:style w:type="paragraph" w:customStyle="1" w:styleId="885">
    <w:name w:val="TOC Heading1"/>
    <w:basedOn w:val="2"/>
    <w:next w:val="1"/>
    <w:uiPriority w:val="99"/>
    <w:pPr>
      <w:spacing w:before="480" w:after="0" w:line="276" w:lineRule="auto"/>
      <w:jc w:val="left"/>
      <w:outlineLvl w:val="9"/>
    </w:pPr>
    <w:rPr>
      <w:rFonts w:ascii="Cambria" w:hAnsi="Cambria"/>
      <w:bCs/>
      <w:color w:val="365F91"/>
      <w:kern w:val="0"/>
      <w:sz w:val="28"/>
      <w:szCs w:val="28"/>
    </w:rPr>
  </w:style>
  <w:style w:type="paragraph" w:customStyle="1" w:styleId="886">
    <w:name w:val="Char Char Char Char Char Char"/>
    <w:basedOn w:val="1"/>
    <w:uiPriority w:val="99"/>
    <w:pPr>
      <w:widowControl w:val="0"/>
    </w:pPr>
    <w:rPr>
      <w:sz w:val="24"/>
      <w:szCs w:val="24"/>
    </w:rPr>
  </w:style>
  <w:style w:type="paragraph" w:customStyle="1" w:styleId="887">
    <w:name w:val="第八行"/>
    <w:basedOn w:val="1"/>
    <w:uiPriority w:val="99"/>
    <w:pPr>
      <w:widowControl w:val="0"/>
      <w:spacing w:beforeLines="100" w:line="360" w:lineRule="auto"/>
      <w:ind w:left="200" w:leftChars="200" w:firstLine="200" w:firstLineChars="200"/>
      <w:jc w:val="center"/>
    </w:pPr>
    <w:rPr>
      <w:rFonts w:ascii="宋体" w:cs="宋体"/>
      <w:b/>
      <w:bCs/>
      <w:sz w:val="28"/>
      <w:szCs w:val="28"/>
    </w:rPr>
  </w:style>
  <w:style w:type="paragraph" w:customStyle="1" w:styleId="888">
    <w:name w:val="Char Char Char"/>
    <w:basedOn w:val="1"/>
    <w:uiPriority w:val="99"/>
    <w:pPr>
      <w:widowControl w:val="0"/>
      <w:spacing w:line="360" w:lineRule="auto"/>
      <w:ind w:left="200" w:leftChars="200" w:firstLine="200" w:firstLineChars="200"/>
    </w:pPr>
    <w:rPr>
      <w:rFonts w:ascii="Tahoma" w:hAnsi="Tahoma"/>
      <w:sz w:val="24"/>
    </w:rPr>
  </w:style>
  <w:style w:type="paragraph" w:customStyle="1" w:styleId="889">
    <w:name w:val="叙述"/>
    <w:basedOn w:val="890"/>
    <w:uiPriority w:val="99"/>
    <w:pPr>
      <w:tabs>
        <w:tab w:val="left" w:pos="737"/>
        <w:tab w:val="left" w:pos="840"/>
        <w:tab w:val="left" w:pos="5880"/>
      </w:tabs>
      <w:ind w:left="5880" w:hanging="420"/>
    </w:pPr>
  </w:style>
  <w:style w:type="paragraph" w:customStyle="1" w:styleId="890">
    <w:name w:val="(1)"/>
    <w:basedOn w:val="1"/>
    <w:uiPriority w:val="99"/>
    <w:pPr>
      <w:widowControl w:val="0"/>
      <w:tabs>
        <w:tab w:val="left" w:pos="737"/>
        <w:tab w:val="left" w:pos="840"/>
      </w:tabs>
      <w:spacing w:line="360" w:lineRule="auto"/>
      <w:ind w:left="840" w:leftChars="200" w:hanging="840" w:firstLineChars="200"/>
    </w:pPr>
    <w:rPr>
      <w:rFonts w:ascii="Arial" w:hAnsi="Arial"/>
      <w:sz w:val="24"/>
    </w:rPr>
  </w:style>
  <w:style w:type="paragraph" w:customStyle="1" w:styleId="891">
    <w:name w:val="biao"/>
    <w:basedOn w:val="1"/>
    <w:uiPriority w:val="99"/>
    <w:pPr>
      <w:widowControl w:val="0"/>
      <w:tabs>
        <w:tab w:val="left" w:pos="1134"/>
      </w:tabs>
      <w:autoSpaceDE w:val="0"/>
      <w:autoSpaceDN w:val="0"/>
      <w:adjustRightInd w:val="0"/>
      <w:spacing w:before="60" w:after="60" w:line="360" w:lineRule="atLeast"/>
      <w:ind w:left="200" w:leftChars="200" w:firstLine="200" w:firstLineChars="200"/>
      <w:textAlignment w:val="baseline"/>
    </w:pPr>
    <w:rPr>
      <w:rFonts w:ascii="宋体"/>
      <w:kern w:val="0"/>
      <w:sz w:val="24"/>
      <w:szCs w:val="24"/>
    </w:rPr>
  </w:style>
  <w:style w:type="paragraph" w:customStyle="1" w:styleId="892">
    <w:name w:val="样式15"/>
    <w:basedOn w:val="1"/>
    <w:uiPriority w:val="99"/>
    <w:pPr>
      <w:widowControl w:val="0"/>
      <w:overflowPunct w:val="0"/>
      <w:adjustRightInd w:val="0"/>
      <w:spacing w:line="360" w:lineRule="auto"/>
      <w:ind w:left="200" w:leftChars="200" w:firstLine="200" w:firstLineChars="200"/>
    </w:pPr>
    <w:rPr>
      <w:rFonts w:eastAsia="华文中宋"/>
      <w:sz w:val="24"/>
      <w:szCs w:val="24"/>
    </w:rPr>
  </w:style>
  <w:style w:type="paragraph" w:customStyle="1" w:styleId="893">
    <w:name w:val="1.1.1"/>
    <w:basedOn w:val="894"/>
    <w:uiPriority w:val="99"/>
    <w:pPr>
      <w:tabs>
        <w:tab w:val="left" w:pos="840"/>
        <w:tab w:val="left" w:pos="1440"/>
      </w:tabs>
    </w:pPr>
  </w:style>
  <w:style w:type="paragraph" w:customStyle="1" w:styleId="894">
    <w:name w:val="1.1"/>
    <w:basedOn w:val="1"/>
    <w:uiPriority w:val="0"/>
    <w:pPr>
      <w:widowControl w:val="0"/>
      <w:tabs>
        <w:tab w:val="left" w:pos="840"/>
        <w:tab w:val="left" w:pos="1440"/>
      </w:tabs>
      <w:spacing w:line="360" w:lineRule="auto"/>
      <w:ind w:left="840" w:leftChars="200" w:hanging="840" w:firstLineChars="200"/>
    </w:pPr>
    <w:rPr>
      <w:rFonts w:ascii="Arial" w:hAnsi="Arial"/>
      <w:sz w:val="24"/>
    </w:rPr>
  </w:style>
  <w:style w:type="paragraph" w:customStyle="1" w:styleId="895">
    <w:name w:val="TOC 标题11"/>
    <w:basedOn w:val="2"/>
    <w:next w:val="1"/>
    <w:unhideWhenUsed/>
    <w:qFormat/>
    <w:uiPriority w:val="39"/>
    <w:pPr>
      <w:spacing w:before="480" w:after="0" w:line="276" w:lineRule="auto"/>
      <w:jc w:val="left"/>
      <w:outlineLvl w:val="9"/>
    </w:pPr>
    <w:rPr>
      <w:rFonts w:ascii="Cambria" w:hAnsi="Cambria" w:cs="黑体"/>
      <w:bCs/>
      <w:color w:val="365F90"/>
      <w:kern w:val="0"/>
      <w:sz w:val="28"/>
      <w:szCs w:val="28"/>
    </w:rPr>
  </w:style>
  <w:style w:type="paragraph" w:customStyle="1" w:styleId="896">
    <w:name w:val="List Paragraph1"/>
    <w:basedOn w:val="1"/>
    <w:uiPriority w:val="99"/>
    <w:pPr>
      <w:widowControl w:val="0"/>
      <w:adjustRightInd w:val="0"/>
      <w:snapToGrid w:val="0"/>
      <w:spacing w:line="360" w:lineRule="auto"/>
      <w:ind w:left="200" w:leftChars="200" w:firstLine="420" w:firstLineChars="200"/>
    </w:pPr>
    <w:rPr>
      <w:kern w:val="24"/>
      <w:sz w:val="24"/>
      <w:szCs w:val="22"/>
    </w:rPr>
  </w:style>
  <w:style w:type="paragraph" w:customStyle="1" w:styleId="897">
    <w:name w:val="BT3"/>
    <w:basedOn w:val="1"/>
    <w:uiPriority w:val="0"/>
    <w:pPr>
      <w:widowControl w:val="0"/>
      <w:adjustRightInd w:val="0"/>
      <w:spacing w:before="60" w:after="60" w:line="360" w:lineRule="atLeast"/>
      <w:ind w:left="1134" w:hanging="1134"/>
      <w:textAlignment w:val="baseline"/>
    </w:pPr>
    <w:rPr>
      <w:rFonts w:ascii="宋体"/>
      <w:spacing w:val="5"/>
      <w:kern w:val="0"/>
      <w:sz w:val="24"/>
      <w:szCs w:val="24"/>
    </w:rPr>
  </w:style>
  <w:style w:type="paragraph" w:customStyle="1" w:styleId="898">
    <w:name w:val="_Style 19"/>
    <w:basedOn w:val="1"/>
    <w:next w:val="34"/>
    <w:uiPriority w:val="0"/>
    <w:pPr>
      <w:widowControl w:val="0"/>
    </w:pPr>
    <w:rPr>
      <w:rFonts w:ascii="宋体" w:hAnsi="Courier New"/>
    </w:rPr>
  </w:style>
  <w:style w:type="paragraph" w:customStyle="1" w:styleId="899">
    <w:name w:val="正文首缩2字符"/>
    <w:basedOn w:val="1"/>
    <w:uiPriority w:val="99"/>
    <w:pPr>
      <w:widowControl w:val="0"/>
      <w:spacing w:line="400" w:lineRule="exact"/>
      <w:ind w:left="200" w:leftChars="200" w:firstLine="480" w:firstLineChars="200"/>
    </w:pPr>
    <w:rPr>
      <w:sz w:val="24"/>
      <w:szCs w:val="24"/>
    </w:rPr>
  </w:style>
  <w:style w:type="paragraph" w:customStyle="1" w:styleId="900">
    <w:name w:val="Char Char Char Char Char Char Char Char Char Char Char Char Char Char Char Char Char Char Char Char Char1 Char Char Char Char"/>
    <w:basedOn w:val="1"/>
    <w:uiPriority w:val="99"/>
    <w:pPr>
      <w:widowControl w:val="0"/>
      <w:adjustRightInd w:val="0"/>
      <w:spacing w:line="360" w:lineRule="atLeast"/>
      <w:ind w:left="200" w:leftChars="200" w:firstLine="200" w:firstLineChars="200"/>
      <w:textAlignment w:val="baseline"/>
    </w:pPr>
    <w:rPr>
      <w:rFonts w:ascii="Tahoma" w:hAnsi="Tahoma"/>
      <w:sz w:val="24"/>
    </w:rPr>
  </w:style>
  <w:style w:type="paragraph" w:customStyle="1" w:styleId="901">
    <w:name w:val="Definition Term"/>
    <w:basedOn w:val="1"/>
    <w:next w:val="902"/>
    <w:uiPriority w:val="99"/>
    <w:pPr>
      <w:widowControl w:val="0"/>
      <w:autoSpaceDE w:val="0"/>
      <w:autoSpaceDN w:val="0"/>
      <w:adjustRightInd w:val="0"/>
      <w:spacing w:line="360" w:lineRule="auto"/>
      <w:ind w:left="200" w:leftChars="200" w:firstLine="200" w:firstLineChars="200"/>
      <w:jc w:val="left"/>
    </w:pPr>
    <w:rPr>
      <w:kern w:val="0"/>
      <w:sz w:val="24"/>
    </w:rPr>
  </w:style>
  <w:style w:type="paragraph" w:customStyle="1" w:styleId="902">
    <w:name w:val="Definition List"/>
    <w:basedOn w:val="1"/>
    <w:next w:val="901"/>
    <w:uiPriority w:val="99"/>
    <w:pPr>
      <w:widowControl w:val="0"/>
      <w:autoSpaceDE w:val="0"/>
      <w:autoSpaceDN w:val="0"/>
      <w:adjustRightInd w:val="0"/>
      <w:spacing w:line="360" w:lineRule="auto"/>
      <w:ind w:left="360" w:leftChars="200" w:firstLine="200" w:firstLineChars="200"/>
      <w:jc w:val="left"/>
    </w:pPr>
    <w:rPr>
      <w:kern w:val="0"/>
      <w:sz w:val="24"/>
    </w:rPr>
  </w:style>
  <w:style w:type="paragraph" w:customStyle="1" w:styleId="903">
    <w:name w:val="样式13"/>
    <w:basedOn w:val="1"/>
    <w:uiPriority w:val="99"/>
    <w:pPr>
      <w:widowControl w:val="0"/>
      <w:spacing w:beforeLines="50" w:afterLines="50" w:line="360" w:lineRule="auto"/>
      <w:ind w:left="200" w:leftChars="200" w:firstLine="200" w:firstLineChars="200"/>
      <w:jc w:val="center"/>
    </w:pPr>
    <w:rPr>
      <w:rFonts w:ascii="仿宋_GB2312" w:hAnsi="华文中宋" w:eastAsia="仿宋_GB2312"/>
      <w:sz w:val="24"/>
    </w:rPr>
  </w:style>
  <w:style w:type="paragraph" w:customStyle="1" w:styleId="904">
    <w:name w:val="Char Char Char Char Char Char Char Char Char1 Char"/>
    <w:basedOn w:val="1"/>
    <w:uiPriority w:val="0"/>
    <w:pPr>
      <w:spacing w:after="160" w:line="240" w:lineRule="exact"/>
      <w:jc w:val="left"/>
    </w:pPr>
    <w:rPr>
      <w:szCs w:val="24"/>
    </w:rPr>
  </w:style>
  <w:style w:type="paragraph" w:customStyle="1" w:styleId="905">
    <w:name w:val="No Spacing1"/>
    <w:uiPriority w:val="99"/>
    <w:pPr>
      <w:widowControl w:val="0"/>
      <w:ind w:left="1134" w:hanging="1134"/>
      <w:jc w:val="both"/>
    </w:pPr>
    <w:rPr>
      <w:rFonts w:ascii="Arial" w:hAnsi="Arial" w:eastAsia="宋体" w:cs="Times New Roman"/>
      <w:kern w:val="2"/>
      <w:sz w:val="24"/>
      <w:szCs w:val="24"/>
      <w:lang w:val="en-US" w:eastAsia="zh-CN" w:bidi="ar-SA"/>
    </w:rPr>
  </w:style>
  <w:style w:type="paragraph" w:customStyle="1" w:styleId="906">
    <w:name w:val="amount"/>
    <w:basedOn w:val="1"/>
    <w:uiPriority w:val="99"/>
    <w:pPr>
      <w:spacing w:before="100" w:beforeAutospacing="1" w:after="100" w:afterAutospacing="1" w:line="360" w:lineRule="auto"/>
      <w:ind w:left="200" w:leftChars="200" w:firstLine="200" w:firstLineChars="200"/>
      <w:jc w:val="left"/>
    </w:pPr>
    <w:rPr>
      <w:rFonts w:ascii="宋体" w:hAnsi="宋体"/>
      <w:color w:val="999999"/>
      <w:kern w:val="0"/>
      <w:sz w:val="18"/>
      <w:szCs w:val="18"/>
    </w:rPr>
  </w:style>
  <w:style w:type="paragraph" w:customStyle="1" w:styleId="907">
    <w:name w:val="样式2 me"/>
    <w:basedOn w:val="3"/>
    <w:qFormat/>
    <w:uiPriority w:val="99"/>
    <w:pPr>
      <w:widowControl w:val="0"/>
      <w:spacing w:line="360" w:lineRule="auto"/>
      <w:ind w:left="200" w:leftChars="200" w:firstLine="200" w:firstLineChars="200"/>
      <w:jc w:val="left"/>
    </w:pPr>
    <w:rPr>
      <w:rFonts w:ascii="宋体" w:hAnsi="Arial"/>
      <w:sz w:val="24"/>
      <w:szCs w:val="24"/>
    </w:rPr>
  </w:style>
  <w:style w:type="paragraph" w:customStyle="1" w:styleId="908">
    <w:name w:val="小条"/>
    <w:basedOn w:val="1"/>
    <w:qFormat/>
    <w:uiPriority w:val="0"/>
    <w:pPr>
      <w:widowControl w:val="0"/>
    </w:pPr>
    <w:rPr>
      <w:rFonts w:hAnsi="宋体"/>
    </w:rPr>
  </w:style>
  <w:style w:type="paragraph" w:customStyle="1" w:styleId="909">
    <w:name w:val="Char Char Char1 Char"/>
    <w:basedOn w:val="1"/>
    <w:qFormat/>
    <w:uiPriority w:val="0"/>
    <w:pPr>
      <w:widowControl w:val="0"/>
    </w:pPr>
    <w:rPr>
      <w:szCs w:val="24"/>
    </w:rPr>
  </w:style>
  <w:style w:type="paragraph" w:customStyle="1" w:styleId="910">
    <w:name w:val="默认段落字体 Para Char"/>
    <w:basedOn w:val="1"/>
    <w:next w:val="1"/>
    <w:qFormat/>
    <w:uiPriority w:val="0"/>
    <w:pPr>
      <w:widowControl w:val="0"/>
      <w:spacing w:line="360" w:lineRule="auto"/>
      <w:ind w:firstLine="200" w:firstLineChars="200"/>
    </w:pPr>
    <w:rPr>
      <w:rFonts w:ascii="宋体" w:hAnsi="宋体" w:cs="宋体"/>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FABBED-9768-4CC6-AC6A-48F8368F4273}">
  <ds:schemaRefs/>
</ds:datastoreItem>
</file>

<file path=docProps/app.xml><?xml version="1.0" encoding="utf-8"?>
<Properties xmlns="http://schemas.openxmlformats.org/officeDocument/2006/extended-properties" xmlns:vt="http://schemas.openxmlformats.org/officeDocument/2006/docPropsVTypes">
  <Template>0.docx</Template>
  <Company>微软中国</Company>
  <Pages>110</Pages>
  <Words>11658</Words>
  <Characters>66455</Characters>
  <Lines>553</Lines>
  <Paragraphs>155</Paragraphs>
  <TotalTime>13</TotalTime>
  <ScaleCrop>false</ScaleCrop>
  <LinksUpToDate>false</LinksUpToDate>
  <CharactersWithSpaces>77958</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2018-07-12T08:12:00Z</dcterms:created>
  <dc:creator>hty _黄甫` </dc:creator>
  <cp:lastModifiedBy>打死也不说</cp:lastModifiedBy>
  <cp:lastPrinted>2018-10-10T07:23:00Z</cp:lastPrinted>
  <dcterms:modified xsi:type="dcterms:W3CDTF">2020-02-06T02:17:07Z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